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7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 (2))</w:t>
      </w:r>
    </w:p>
    <w:p>
      <w:pPr>
        <w:spacing w:after="0" w:line="22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40"/>
          <w:szCs w:val="40"/>
          <w:b w:val="1"/>
          <w:bCs w:val="1"/>
          <w:color w:val="auto"/>
        </w:rPr>
        <w:t>Payoneer Global Inc.</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This Schedule 14A relates solely to preliminary communications made prior to furnishing security holders of Payoneer Global Inc. (the “Company”) with a definitive proxy statement related to a proposed transaction in which Panda Acquisition Sub Inc., a Delaware corporation and a wholly owned subsidiary of Neon Maple Parent Inc., a corporation incorporated pursuant to the laws of Canada (“Nuvei”), will merge with and into the Company, with the Company surviving the merger as a wholly owned subsidiary of Nuvei.</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14A filing consists of materials for employees that were published on the Company’s intranet on June 30, 2026 relating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12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9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9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9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0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0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9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12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1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94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94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194" w:lineRule="exact"/>
        <w:rPr>
          <w:sz w:val="20"/>
          <w:szCs w:val="20"/>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31">
        <w:r>
          <w:rPr>
            <w:rFonts w:ascii="Times New Roman" w:cs="Times New Roman" w:eastAsia="Times New Roman" w:hAnsi="Times New Roman"/>
            <w:sz w:val="18"/>
            <w:szCs w:val="18"/>
            <w:u w:val="single" w:color="auto"/>
            <w:color w:val="0000FF"/>
          </w:rPr>
          <w:t>https://www.sec.gov/Archives/edgar/data/1845815/000110465926020487/payo-20251231x10k.htm</w:t>
        </w:r>
      </w:hyperlink>
      <w:r>
        <w:rPr>
          <w:rFonts w:ascii="Times New Roman" w:cs="Times New Roman" w:eastAsia="Times New Roman" w:hAnsi="Times New Roman"/>
          <w:sz w:val="18"/>
          <w:szCs w:val="18"/>
          <w:color w:val="auto"/>
        </w:rPr>
        <w:t xml:space="preserve">), quarterly reports on Form 10-Q and other documents subsequently filed by the Company with the Securities Exchange Commission (“SEC”) and that are available at </w:t>
      </w:r>
      <w:r>
        <w:rPr>
          <w:rFonts w:ascii="Times New Roman" w:cs="Times New Roman" w:eastAsia="Times New Roman" w:hAnsi="Times New Roman"/>
          <w:sz w:val="18"/>
          <w:szCs w:val="18"/>
          <w:u w:val="single" w:color="auto"/>
          <w:color w:val="0000FF"/>
        </w:rPr>
        <w:t>https://www.sec.gov/edgar/search/#/ciks=0001845815&amp;entityName=Payoneer%2520Global%2520Inc.%2520(PAYO)%2520(CIK%25200001845815</w:t>
      </w:r>
      <w:r>
        <w:rPr>
          <w:rFonts w:ascii="Times New Roman" w:cs="Times New Roman" w:eastAsia="Times New Roman" w:hAnsi="Times New Roman"/>
          <w:sz w:val="18"/>
          <w:szCs w:val="18"/>
          <w:color w:val="000000"/>
        </w:rPr>
        <w:t>).</w:t>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forward-looking statements are based on assumptions that the Company believes to be reasonable but that may not prove to be accurate. Other unpredictable or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 w:cs="Times New Roman" w:eastAsia="Times New Roman" w:hAnsi="Times New Roman"/>
          <w:sz w:val="18"/>
          <w:szCs w:val="18"/>
          <w:u w:val="single" w:color="auto"/>
          <w:color w:val="0000FF"/>
        </w:rPr>
        <w:t>https://www.sec.gov/edgar/browse/?CIK=1845815&amp;owner=exclude</w:t>
      </w:r>
      <w:r>
        <w:rPr>
          <w:rFonts w:ascii="Times New Roman" w:cs="Times New Roman" w:eastAsia="Times New Roman" w:hAnsi="Times New Roman"/>
          <w:sz w:val="18"/>
          <w:szCs w:val="18"/>
          <w:color w:val="auto"/>
        </w:rPr>
        <w:t xml:space="preserve">. Copies of documents filed with the SEC by the Company will be made available free of charge by accessing the Company’s website at </w:t>
      </w:r>
      <w:r>
        <w:rPr>
          <w:rFonts w:ascii="Times New Roman" w:cs="Times New Roman" w:eastAsia="Times New Roman" w:hAnsi="Times New Roman"/>
          <w:sz w:val="18"/>
          <w:szCs w:val="18"/>
          <w:u w:val="single" w:color="auto"/>
          <w:color w:val="0000FF"/>
        </w:rPr>
        <w:t>https://investor.payoneer.com/financials/sec-filings</w:t>
      </w:r>
      <w:r>
        <w:rPr>
          <w:rFonts w:ascii="Times New Roman" w:cs="Times New Roman" w:eastAsia="Times New Roman" w:hAnsi="Times New Roman"/>
          <w:sz w:val="18"/>
          <w:szCs w:val="18"/>
          <w:color w:val="000000"/>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Meeting of Stockholders, as filed with the </w:t>
      </w:r>
      <w:hyperlink r:id="rId33">
        <w:r>
          <w:rPr>
            <w:rFonts w:ascii="Times New Roman" w:cs="Times New Roman" w:eastAsia="Times New Roman" w:hAnsi="Times New Roman"/>
            <w:sz w:val="18"/>
            <w:szCs w:val="18"/>
            <w:color w:val="auto"/>
          </w:rPr>
          <w:t xml:space="preserve">SEC on April 27, 2026 (and which is available at </w:t>
        </w:r>
        <w:r>
          <w:rPr>
            <w:rFonts w:ascii="Times New Roman" w:cs="Times New Roman" w:eastAsia="Times New Roman" w:hAnsi="Times New Roman"/>
            <w:sz w:val="18"/>
            <w:szCs w:val="18"/>
            <w:u w:val="single" w:color="auto"/>
            <w:color w:val="0000FF"/>
          </w:rPr>
          <w:t>https://www.sec.gov/ix?doc=/Archives/edgar/data/0001845815/000110465926049462/tm261500-</w:t>
        </w:r>
      </w:hyperlink>
      <w:hyperlink r:id="rId33">
        <w:r>
          <w:rPr>
            <w:rFonts w:ascii="Times New Roman" w:cs="Times New Roman" w:eastAsia="Times New Roman" w:hAnsi="Times New Roman"/>
            <w:sz w:val="18"/>
            <w:szCs w:val="18"/>
            <w:u w:val="single" w:color="auto"/>
            <w:color w:val="0000FF"/>
          </w:rPr>
          <w:t>1_def14a.htm</w:t>
        </w:r>
        <w:r>
          <w:rPr>
            <w:rFonts w:ascii="Times New Roman" w:cs="Times New Roman" w:eastAsia="Times New Roman" w:hAnsi="Times New Roman"/>
            <w:sz w:val="18"/>
            <w:szCs w:val="18"/>
            <w:color w:val="000000"/>
          </w:rPr>
          <w:t>) and in the Company’s Annual Report on Form 10-K for the fiscal year ended December 31, 2025 (and which is available at</w:t>
        </w:r>
      </w:hyperlink>
      <w:r>
        <w:rPr>
          <w:rFonts w:ascii="Times New Roman" w:cs="Times New Roman" w:eastAsia="Times New Roman" w:hAnsi="Times New Roman"/>
          <w:sz w:val="18"/>
          <w:szCs w:val="18"/>
          <w:color w:val="0000FF"/>
        </w:rPr>
        <w:t xml:space="preserve"> </w:t>
      </w:r>
      <w:hyperlink r:id="rId34">
        <w:r>
          <w:rPr>
            <w:rFonts w:ascii="Times New Roman" w:cs="Times New Roman" w:eastAsia="Times New Roman" w:hAnsi="Times New Roman"/>
            <w:sz w:val="18"/>
            <w:szCs w:val="18"/>
            <w:u w:val="single" w:color="auto"/>
            <w:color w:val="0000FF"/>
          </w:rPr>
          <w:t>https://www.sec.gov/ix?doc=/Archives/edgar/data/0001845815/000110465926020487/payo-20251231x10k.htm</w:t>
        </w:r>
      </w:hyperlink>
      <w:r>
        <w:rPr>
          <w:rFonts w:ascii="Times New Roman" w:cs="Times New Roman" w:eastAsia="Times New Roman" w:hAnsi="Times New Roman"/>
          <w:sz w:val="18"/>
          <w:szCs w:val="18"/>
          <w:color w:val="000000"/>
        </w:rPr>
        <w:t>). Information about the directors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34">
        <w:r>
          <w:rPr>
            <w:rFonts w:ascii="Times New Roman" w:cs="Times New Roman" w:eastAsia="Times New Roman" w:hAnsi="Times New Roman"/>
            <w:sz w:val="18"/>
            <w:szCs w:val="18"/>
            <w:u w:val="single" w:color="auto"/>
            <w:color w:val="0000FF"/>
          </w:rPr>
          <w:t>https://www.sec.gov/ix?doc=/Archives/edgar/data/0001845815/000110465926020487/payo-20251231x10k.htm</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in the sections entitled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Regarding the Board of Directors and Corporate Governance,” “Security Ownership of Certain Beneficial Owners and Management,” “Certain Relationships and Related Party Transactions,” and “Independence of the Board of Directors” included in the Company’s definitive proxy statement in </w:t>
      </w:r>
      <w:hyperlink r:id="rId33">
        <w:r>
          <w:rPr>
            <w:rFonts w:ascii="Times New Roman" w:cs="Times New Roman" w:eastAsia="Times New Roman" w:hAnsi="Times New Roman"/>
            <w:sz w:val="18"/>
            <w:szCs w:val="18"/>
            <w:color w:val="000000"/>
          </w:rPr>
          <w:t xml:space="preserve">connection with its 2026 Annual Meeting of Stockholders, as filed with the SEC on April 27, 2026 (and which is available at </w:t>
        </w:r>
        <w:r>
          <w:rPr>
            <w:rFonts w:ascii="Times New Roman" w:cs="Times New Roman" w:eastAsia="Times New Roman" w:hAnsi="Times New Roman"/>
            <w:sz w:val="18"/>
            <w:szCs w:val="18"/>
            <w:u w:val="single" w:color="auto"/>
            <w:color w:val="0000FF"/>
          </w:rPr>
          <w:t>https://www.sec.gov/ix?</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u w:val="single" w:color="auto"/>
            <w:color w:val="0000FF"/>
          </w:rPr>
          <w:t>doc=/Archives/edgar/data/0001845815/000110465926049462/tm261500-1_def14a.htm</w:t>
        </w:r>
        <w:r>
          <w:rPr>
            <w:rFonts w:ascii="Times New Roman" w:cs="Times New Roman" w:eastAsia="Times New Roman" w:hAnsi="Times New Roman"/>
            <w:sz w:val="18"/>
            <w:szCs w:val="18"/>
            <w:color w:val="000000"/>
          </w:rPr>
          <w:t>). Additional information regarding the interests of such participants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1" Type="http://schemas.openxmlformats.org/officeDocument/2006/relationships/hyperlink" Target="https://www.sec.gov/Archives/edgar/data/1845815/000110465926020487/payo-20251231x10k.htm" TargetMode="External"/><Relationship Id="rId33" Type="http://schemas.openxmlformats.org/officeDocument/2006/relationships/hyperlink" Target="https://www.sec.gov/ix?doc=/Archives/edgar/data/0001845815/000110465926049462/tm261500-1_def14a.htm" TargetMode="External"/><Relationship Id="rId34" Type="http://schemas.openxmlformats.org/officeDocument/2006/relationships/hyperlink" Target="https://www.sec.gov/ix?doc=/Archives/edgar/data/0001845815/000110465926020487/payo-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2026-06-30T15:47:23Z</dcterms:created>
  <dcterms:modified xsi:type="dcterms:W3CDTF">2026-06-30T15:47:23Z</dcterms:modified>
</cp:coreProperties>
</file>