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Caplan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Payoneer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7.13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5,696,405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solely to cover the Reporting Person's tax obligation arising from the settlement of vested restricted stock units and does not represent an open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 Bochkareva, attorney-in-fact for John Caplan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174" TargetMode="External"/><Relationship Id="rId5" Type="http://schemas.openxmlformats.org/officeDocument/2006/relationships/hyperlink" Target="http://www.sec.gov/cgi-bin/browse-edgar?action=getcompany&amp;CIK=00018458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3238</Characters>
  <CharactersWithSpaces>3764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