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7165ddefa14a.htm"/>
      <w:bookmarkStart w:id="1" w:name="ksd127165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PAYONEER GLOBAL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36"/>
        </w:rPr>
      </w:pPr>
      <w:r>
        <w:rPr>
          <w:rFonts w:ascii="Times New Roman" w:hAnsi="Times New Roman"/>
          <w:b/>
          <w:sz w:val="36"/>
        </w:rPr>
        <w:t xml:space="preserve">NUVEI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social media posts were made available by Nuvei Corporation (“Nuvei”) and Phil Fayer (Chairman and CEO of Nuvei) on June 15, 2026. </w:t>
      </w:r>
    </w:p>
    <w:p>
      <w:pPr>
        <w:pStyle w:val="TextBody"/>
        <w:bidi w:val="0"/>
        <w:spacing w:before="360" w:after="0"/>
        <w:jc w:val="left"/>
        <w:rPr>
          <w:rFonts w:ascii="Times New Roman" w:hAnsi="Times New Roman"/>
          <w:b/>
          <w:sz w:val="20"/>
        </w:rPr>
      </w:pPr>
      <w:r>
        <w:rPr>
          <w:rFonts w:ascii="Times New Roman" w:hAnsi="Times New Roman"/>
          <w:b/>
          <w:sz w:val="20"/>
        </w:rPr>
        <w:t xml:space="preserve">Nuvei LinkedIn Post </w:t>
      </w:r>
    </w:p>
    <w:p>
      <w:pPr>
        <w:pStyle w:val="TextBody"/>
        <w:bidi w:val="0"/>
        <w:spacing w:before="120" w:after="0"/>
        <w:jc w:val="left"/>
        <w:rPr>
          <w:rFonts w:ascii="Times New Roman" w:hAnsi="Times New Roman"/>
          <w:sz w:val="20"/>
        </w:rPr>
      </w:pPr>
      <w:r>
        <w:rPr>
          <w:rFonts w:ascii="Times New Roman" w:hAnsi="Times New Roman"/>
          <w:sz w:val="20"/>
        </w:rPr>
        <w:t xml:space="preserve">Today we announced a definitive agreement to acquire Payoneer (Nasdaq: PAYO) for $2.75 billion, creating a leading global platform for local and cross-border commerce.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will give businesses a single partner to accept, hold, and move money — including stablecoin transactions — across 190+ countries and territories. At close, it is expected to generate approximately $3 billion in annual revenue, process more than $500 billion in annual payment volume, and serve more than 2.4 million customers. </w:t>
      </w:r>
    </w:p>
    <w:p>
      <w:pPr>
        <w:pStyle w:val="TextBody"/>
        <w:bidi w:val="0"/>
        <w:spacing w:before="240" w:after="0"/>
        <w:jc w:val="left"/>
        <w:rPr/>
      </w:pPr>
      <w:r>
        <w:rPr/>
        <w:t>“</w:t>
      </w:r>
      <w:r>
        <w:rPr>
          <w:rFonts w:ascii="Times New Roman" w:hAnsi="Times New Roman"/>
          <w:sz w:val="20"/>
        </w:rPr>
        <w:t xml:space="preserve">The acquisition of Payoneer marks a defining step in Nuvei’s evolution into a global financial infrastructure leader,” said Phil Fayer, Chair and CEO of Nuvei. “By combining complementary capabilities, we can offer businesses a more complete platform to accept payments, send funds, issue cards, manage treasury and FX needs, and access embedded financial services — at scale.” </w:t>
      </w:r>
    </w:p>
    <w:p>
      <w:pPr>
        <w:pStyle w:val="TextBody"/>
        <w:bidi w:val="0"/>
        <w:spacing w:before="240" w:after="0"/>
        <w:jc w:val="left"/>
        <w:rPr>
          <w:rFonts w:ascii="Times New Roman" w:hAnsi="Times New Roman"/>
          <w:sz w:val="20"/>
        </w:rPr>
      </w:pPr>
      <w:r>
        <w:rPr>
          <w:rFonts w:ascii="Times New Roman" w:hAnsi="Times New Roman"/>
          <w:sz w:val="20"/>
        </w:rPr>
        <w:t xml:space="preserve">Read more here: </w:t>
      </w:r>
      <w:r>
        <w:rPr>
          <w:rFonts w:ascii="Times New Roman" w:hAnsi="Times New Roman"/>
          <w:b/>
          <w:sz w:val="20"/>
        </w:rPr>
        <w:t>https://lnkd.in/eGM8YGRn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Nuvei X Thread </w:t>
      </w:r>
    </w:p>
    <w:p>
      <w:pPr>
        <w:pStyle w:val="TextBody"/>
        <w:bidi w:val="0"/>
        <w:spacing w:before="120" w:after="0"/>
        <w:jc w:val="left"/>
        <w:rPr>
          <w:rFonts w:ascii="Times New Roman" w:hAnsi="Times New Roman"/>
          <w:b/>
          <w:sz w:val="20"/>
        </w:rPr>
      </w:pPr>
      <w:r>
        <w:rPr>
          <w:rFonts w:ascii="Times New Roman" w:hAnsi="Times New Roman"/>
          <w:b/>
          <w:sz w:val="20"/>
        </w:rPr>
        <w:t xml:space="preserve">Post 1/3 </w:t>
      </w:r>
    </w:p>
    <w:p>
      <w:pPr>
        <w:pStyle w:val="TextBody"/>
        <w:bidi w:val="0"/>
        <w:spacing w:before="120" w:after="0"/>
        <w:jc w:val="left"/>
        <w:rPr>
          <w:rFonts w:ascii="Times New Roman" w:hAnsi="Times New Roman"/>
          <w:sz w:val="20"/>
        </w:rPr>
      </w:pPr>
      <w:r>
        <w:rPr>
          <w:rFonts w:ascii="Times New Roman" w:hAnsi="Times New Roman"/>
          <w:sz w:val="20"/>
        </w:rPr>
        <w:t xml:space="preserve">Today we announced a definitive agreement to acquire @Payoneer (Nasdaq: PAYO) for $2.75 billion, creating a leading global platform for local and cross-border commerce.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will give businesses a single partner to accept, hold, and move money across borders. </w:t>
      </w:r>
    </w:p>
    <w:p>
      <w:pPr>
        <w:pStyle w:val="TextBody"/>
        <w:bidi w:val="0"/>
        <w:spacing w:before="360" w:after="0"/>
        <w:jc w:val="left"/>
        <w:rPr>
          <w:rFonts w:ascii="Times New Roman" w:hAnsi="Times New Roman"/>
          <w:b/>
          <w:sz w:val="20"/>
        </w:rPr>
      </w:pPr>
      <w:r>
        <w:rPr>
          <w:rFonts w:ascii="Times New Roman" w:hAnsi="Times New Roman"/>
          <w:b/>
          <w:sz w:val="20"/>
        </w:rPr>
        <w:t xml:space="preserve">Post 2/3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is expected to be among the largest fintechs globally: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~$3B in annual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$500B+ in annual payment volume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2.4M+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190+ countries and territories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single provider to accept, hold, and move money — including stablecoin transactions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Post 3/3 </w:t>
      </w:r>
    </w:p>
    <w:p>
      <w:pPr>
        <w:pStyle w:val="TextBody"/>
        <w:bidi w:val="0"/>
        <w:spacing w:before="120" w:after="0"/>
        <w:jc w:val="left"/>
        <w:rPr/>
      </w:pPr>
      <w:r>
        <w:rPr/>
        <w:t>“</w:t>
      </w:r>
      <w:r>
        <w:rPr>
          <w:rFonts w:ascii="Times New Roman" w:hAnsi="Times New Roman"/>
          <w:sz w:val="20"/>
        </w:rPr>
        <w:t xml:space="preserve">The acquisition of Payoneer marks a defining step in Nuvei’s evolution into a global financial infrastructure leader. By combining complementary capabilities, we can offer businesses a more complete platform — at scale.” </w:t>
      </w:r>
    </w:p>
    <w:p>
      <w:pPr>
        <w:pStyle w:val="TextBody"/>
        <w:bidi w:val="0"/>
        <w:spacing w:before="240" w:after="0"/>
        <w:jc w:val="left"/>
        <w:rPr/>
      </w:pPr>
      <w:r>
        <w:rPr/>
        <w:t xml:space="preserve">— </w:t>
      </w:r>
      <w:r>
        <w:rPr>
          <w:rFonts w:ascii="Times New Roman" w:hAnsi="Times New Roman"/>
          <w:sz w:val="20"/>
        </w:rPr>
        <w:t xml:space="preserve">Phil Fayer, Nuvei Chairman and CEO </w:t>
      </w:r>
    </w:p>
    <w:p>
      <w:pPr>
        <w:pStyle w:val="TextBody"/>
        <w:bidi w:val="0"/>
        <w:spacing w:before="240" w:after="0"/>
        <w:jc w:val="left"/>
        <w:rPr>
          <w:rFonts w:ascii="Times New Roman" w:hAnsi="Times New Roman"/>
          <w:sz w:val="20"/>
        </w:rPr>
      </w:pPr>
      <w:r>
        <w:rPr>
          <w:rFonts w:ascii="Times New Roman" w:hAnsi="Times New Roman"/>
          <w:sz w:val="20"/>
        </w:rPr>
        <w:t xml:space="preserve">Read more: </w:t>
      </w:r>
    </w:p>
    <w:p>
      <w:pPr>
        <w:pStyle w:val="TextBody"/>
        <w:bidi w:val="0"/>
        <w:spacing w:before="0" w:after="0"/>
        <w:jc w:val="left"/>
        <w:rPr>
          <w:rFonts w:ascii="Times New Roman" w:hAnsi="Times New Roman"/>
          <w:sz w:val="20"/>
        </w:rPr>
      </w:pPr>
      <w:r>
        <w:rPr>
          <w:rFonts w:ascii="Times New Roman" w:hAnsi="Times New Roman"/>
          <w:sz w:val="20"/>
        </w:rPr>
        <w:t xml:space="preserve">https://www.nuvei.com/posts/nuvei-to-acquire-payoneer-for-2-75-billion-creating-a-leading-global-platform-for-local-and-cross-border-commerce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Phil Fayer LinkedIn Post </w:t>
      </w:r>
    </w:p>
    <w:p>
      <w:pPr>
        <w:pStyle w:val="TextBody"/>
        <w:bidi w:val="0"/>
        <w:spacing w:before="120" w:after="0"/>
        <w:jc w:val="left"/>
        <w:rPr>
          <w:rFonts w:ascii="Times New Roman" w:hAnsi="Times New Roman"/>
          <w:sz w:val="20"/>
        </w:rPr>
      </w:pPr>
      <w:r>
        <w:rPr>
          <w:rFonts w:ascii="Times New Roman" w:hAnsi="Times New Roman"/>
          <w:sz w:val="20"/>
        </w:rPr>
        <w:t xml:space="preserve">Today we announced an agreement to acquire Payoneer for $2.75 billion. Two market leaders coming together. </w:t>
      </w:r>
    </w:p>
    <w:p>
      <w:pPr>
        <w:pStyle w:val="TextBody"/>
        <w:bidi w:val="0"/>
        <w:spacing w:before="240" w:after="0"/>
        <w:jc w:val="left"/>
        <w:rPr>
          <w:rFonts w:ascii="Times New Roman" w:hAnsi="Times New Roman"/>
          <w:sz w:val="20"/>
        </w:rPr>
      </w:pPr>
      <w:r>
        <w:rPr>
          <w:rFonts w:ascii="Times New Roman" w:hAnsi="Times New Roman"/>
          <w:sz w:val="20"/>
        </w:rPr>
        <w:t xml:space="preserve">Nuvei has built one of the world’s leading platforms for money in. Payoneer has built one of the world’s leading platforms for money out — moving money, holding multi-currency balances, and paying out across borders. We do one half of the picture; they do the other. </w:t>
      </w:r>
    </w:p>
    <w:p>
      <w:pPr>
        <w:pStyle w:val="TextBody"/>
        <w:bidi w:val="0"/>
        <w:spacing w:before="240" w:after="0"/>
        <w:jc w:val="left"/>
        <w:rPr>
          <w:rFonts w:ascii="Times New Roman" w:hAnsi="Times New Roman"/>
          <w:sz w:val="20"/>
        </w:rPr>
      </w:pPr>
      <w:r>
        <w:rPr>
          <w:rFonts w:ascii="Times New Roman" w:hAnsi="Times New Roman"/>
          <w:sz w:val="20"/>
        </w:rPr>
        <w:t xml:space="preserve">Together, we become world-leading infrastructure for domestic and cross-border commerce in just about every market. </w:t>
      </w:r>
    </w:p>
    <w:p>
      <w:pPr>
        <w:pStyle w:val="TextBody"/>
        <w:bidi w:val="0"/>
        <w:spacing w:before="240" w:after="0"/>
        <w:jc w:val="left"/>
        <w:rPr>
          <w:rFonts w:ascii="Times New Roman" w:hAnsi="Times New Roman"/>
          <w:sz w:val="20"/>
        </w:rPr>
      </w:pPr>
      <w:r>
        <w:rPr>
          <w:rFonts w:ascii="Times New Roman" w:hAnsi="Times New Roman"/>
          <w:sz w:val="20"/>
        </w:rPr>
        <w:t xml:space="preserve">This is a combination of complementary capabilities, not a consolidation of overlapping ones. </w:t>
      </w:r>
    </w:p>
    <w:p>
      <w:pPr>
        <w:pStyle w:val="TextBody"/>
        <w:bidi w:val="0"/>
        <w:spacing w:before="240" w:after="0"/>
        <w:jc w:val="left"/>
        <w:rPr>
          <w:rFonts w:ascii="Times New Roman" w:hAnsi="Times New Roman"/>
          <w:sz w:val="20"/>
        </w:rPr>
      </w:pPr>
      <w:r>
        <w:rPr>
          <w:rFonts w:ascii="Times New Roman" w:hAnsi="Times New Roman"/>
          <w:sz w:val="20"/>
        </w:rPr>
        <w:t xml:space="preserve">The result: a platform with the capabilities and reach to serve businesses operating locally, globally, and across borders — at scale. </w:t>
      </w:r>
    </w:p>
    <w:p>
      <w:pPr>
        <w:pStyle w:val="TextBody"/>
        <w:bidi w:val="0"/>
        <w:spacing w:before="240" w:after="0"/>
        <w:jc w:val="left"/>
        <w:rPr>
          <w:rFonts w:ascii="Times New Roman" w:hAnsi="Times New Roman"/>
          <w:sz w:val="20"/>
        </w:rPr>
      </w:pPr>
      <w:r>
        <w:rPr>
          <w:rFonts w:ascii="Times New Roman" w:hAnsi="Times New Roman"/>
          <w:sz w:val="20"/>
        </w:rPr>
        <w:t>Congratulations to John Caplan, Bea Ordonez, and the entire Payoneer team. Payoneer has spent two decades building something remarkable, including regulatory positions in markets where licenses take years to earn. I have a lot of respect for what they have built, and am very much looking forward to the 2500+ Payoneer rockstars joining Nuvei. Together, we are still on the ground floor with so much opportunity ahead.</w:t>
      </w:r>
    </w:p>
    <w:p>
      <w:pPr>
        <w:pStyle w:val="TextBody"/>
        <w:bidi w:val="0"/>
        <w:spacing w:before="240" w:after="0"/>
        <w:jc w:val="left"/>
        <w:rPr>
          <w:rFonts w:ascii="Times New Roman" w:hAnsi="Times New Roman"/>
          <w:sz w:val="20"/>
        </w:rPr>
      </w:pPr>
      <w:r>
        <w:rPr>
          <w:rFonts w:ascii="Times New Roman" w:hAnsi="Times New Roman"/>
          <w:sz w:val="20"/>
        </w:rPr>
        <w:t>The combined business will support 2.4M customers and generate $3B in revenue, supported by a talented team of ~5200 employees.</w:t>
      </w:r>
    </w:p>
    <w:p>
      <w:pPr>
        <w:pStyle w:val="TextBody"/>
        <w:bidi w:val="0"/>
        <w:spacing w:before="240" w:after="0"/>
        <w:jc w:val="left"/>
        <w:rPr>
          <w:rFonts w:ascii="Times New Roman" w:hAnsi="Times New Roman"/>
          <w:sz w:val="20"/>
        </w:rPr>
      </w:pPr>
      <w:r>
        <w:rPr>
          <w:rFonts w:ascii="Times New Roman" w:hAnsi="Times New Roman"/>
          <w:sz w:val="20"/>
        </w:rPr>
        <w:t xml:space="preserve">I want to thank my shareholders and business partners Advent, Novacap and CDPQ for supporting me and dreaming big. </w:t>
      </w:r>
    </w:p>
    <w:p>
      <w:pPr>
        <w:pStyle w:val="TextBody"/>
        <w:bidi w:val="0"/>
        <w:spacing w:before="240" w:after="0"/>
        <w:jc w:val="left"/>
        <w:rPr>
          <w:rFonts w:ascii="Times New Roman" w:hAnsi="Times New Roman"/>
          <w:sz w:val="20"/>
        </w:rPr>
      </w:pPr>
      <w:r>
        <w:rPr>
          <w:rFonts w:ascii="Times New Roman" w:hAnsi="Times New Roman"/>
          <w:sz w:val="20"/>
        </w:rPr>
        <w:t xml:space="preserve">The next chapter is incredibly exciting. </w:t>
      </w:r>
    </w:p>
    <w:p>
      <w:pPr>
        <w:pStyle w:val="TextBody"/>
        <w:bidi w:val="0"/>
        <w:spacing w:before="240" w:after="0"/>
        <w:jc w:val="left"/>
        <w:rPr>
          <w:rFonts w:ascii="Times New Roman" w:hAnsi="Times New Roman"/>
          <w:sz w:val="20"/>
        </w:rPr>
      </w:pPr>
      <w:r>
        <w:rPr>
          <w:rFonts w:ascii="Times New Roman" w:hAnsi="Times New Roman"/>
          <w:sz w:val="20"/>
        </w:rPr>
        <w:t xml:space="preserve">Read more here: </w:t>
      </w:r>
      <w:r>
        <w:rPr>
          <w:rFonts w:ascii="Times New Roman" w:hAnsi="Times New Roman"/>
          <w:b/>
          <w:sz w:val="20"/>
        </w:rPr>
        <w:t>https://lnkd.in/eGM8YGRn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These communications contain forward-looking statements within the meaning of the Private Securities Litigation Reform Act of 1995 (the “Act”). Except for historical information contained in this press release, the matters discussed herein contain forward-looking statements that involve risks and uncertainties. Such statements are provided under the “safe harbor” protection of the Act. In some cases, you can identify forward-looking statements because they contain words such as “may,” “will,” “shall,” “should,” “expects,” “plans,” “positioning,” “anticipates,” “could,” “intends,” “target,” “projects,” “contemplates,” “believes,” “estimates,” “predicts,” “potential” or “continue” or the negative of these words or other similar terms or expressions that concern our expectations, strategy, plans or intentions. Forward-looking statements include, but are not limited to, statements about transition and the impact of recent changes to our executive management team; statements regarding the expectations of demand for our products and cash flow generation; statements about improvements to and expansion of our products and platform, and launching new products; statements about future operating results, including revenue, volume, growth opportunities, variability of expenses, ability to realize efficiencies, future spending and incremental investments, business trends, our ability to deliver profits, and growth and value for shareholders; and assumptions regarding foreign exchange rates.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by their nature address matters that are, to different degrees, uncertain, such as statements regarding the transactions (the “Transaction”) contemplated by the Agreement and Plan of Merger, dated as of June 12, 2026, by and among Payoneer Global Inc. (the “Company”), Neon Maple Parent Inc. (“Nuvei”) and Panda Acquisition Sub Inc. (the “Merger Agreement”), including the expected time period to consummate the Transaction, likelihood of completion of the Transaction and anticipated benefits therefrom. All such forward-looking statements are based upon current plans, estimates, expectations and ambitions that are subject to risks, uncertainties and assumptions, many of which are beyond the control of the Company, that could cause actual results to differ materially </w:t>
      </w:r>
      <w:r>
        <w:br w:type="page"/>
      </w:r>
    </w:p>
    <w:p>
      <w:pPr>
        <w:pStyle w:val="HorizontalLine"/>
        <w:pBdr>
          <w:bottom w:val="double" w:sz="6" w:space="0" w:color="808080"/>
        </w:pBdr>
        <w:bidi w:val="0"/>
        <w:jc w:val="left"/>
        <w:rPr/>
      </w:pPr>
      <w:r>
        <w:rPr/>
      </w:r>
    </w:p>
    <w:p>
      <w:pPr>
        <w:pStyle w:val="TextBody"/>
        <w:bidi w:val="0"/>
        <w:spacing w:before="0" w:after="0"/>
        <w:jc w:val="left"/>
        <w:rPr/>
      </w:pPr>
      <w:r>
        <w:rPr>
          <w:rFonts w:ascii="Times New Roman" w:hAnsi="Times New Roman"/>
          <w:sz w:val="20"/>
        </w:rPr>
        <w:t xml:space="preserve">from those expressed in such forward-looking statements. Key factors that could cause actual results to differ materially include, but are not limited to, the expected timing and likelihood of completion of the Transaction, including the timing, receipt and terms and conditions of any required governmental and regulatory approvals of the Transaction; the occurrence of any event, change or other circumstances that could give rise to the termination of the Merger Agreement; the possibility that the Company’s stockholders may not approve the Transaction; the risk that the parties may not be able to satisfy the conditions to the Transaction in a timely manner or at all; risks related to disruption of management time from ongoing business operations due to the Transaction; the risk that any announcements relating to the Transaction could have adverse effects on the market price of the Company’s common stock; the risk that the Transaction and its announcement could have an adverse effect on the parties’ business relationships and business generally, including the ability of the Company to retain customers and retain and hire key personnel and maintain relationships with their suppliers and customers, and on their operating results and businesses generally; the risk of unforeseen or unknown liabilities; customer, stockholder, partner, regulatory and other stakeholder approvals and support; the risk of unexpected future capital expenditures; the risk of potential litigation relating to the Transaction that could be instituted against the Company or its directors and/or officers; the risk associated with third party contracts containing material consent, anti-assignment, transfer or other provisions that may be related to the Transaction which are not waived or otherwise satisfactorily resolved; the risk of various events that could disrupt operations, including severe weather, such as droughts, floods, avalanches and earthquakes, cybersecurity attacks, wars, security threats and governmental response to them, and technological changes; the risks of labor disputes, changes in labor costs and labor difficulties; and the risks resulting from other effects of industry, market, economic, legal or legislative, political or regulatory conditions outside of the Company’s control. All such factors are difficult to predict and are beyond our control, including those detailed in the Company’s annual report on Form 10-K for the fiscal year ended December  31, 2025 (and which is available at: </w:t>
      </w:r>
      <w:hyperlink r:id="rId2">
        <w:r>
          <w:rPr>
            <w:rStyle w:val="InternetLink"/>
            <w:rFonts w:ascii="Times New Roman" w:hAnsi="Times New Roman"/>
            <w:sz w:val="20"/>
          </w:rPr>
          <w:t>https://www.sec.gov/Archives/edgar/data/1845815/000110465926020487/payo-20251231x10k.htm</w:t>
        </w:r>
      </w:hyperlink>
      <w:r>
        <w:rPr>
          <w:rFonts w:ascii="Times New Roman" w:hAnsi="Times New Roman"/>
          <w:sz w:val="20"/>
        </w:rPr>
        <w:t xml:space="preserve">), quarterly reports on Form 10-Q and other documents subsequently filed by the Company with the Securities Exchange Commission (“SEC”) (and that are available at https://www.sec.gov/edgar/search/#/ciks=0001845815&amp;entityName=Payoneer%2520Global%2520Inc.%2520(PAYO)%2520(CIK%25200001845815). </w:t>
      </w:r>
    </w:p>
    <w:p>
      <w:pPr>
        <w:pStyle w:val="TextBody"/>
        <w:bidi w:val="0"/>
        <w:spacing w:before="240" w:after="0"/>
        <w:jc w:val="left"/>
        <w:rPr>
          <w:rFonts w:ascii="Times New Roman" w:hAnsi="Times New Roman"/>
          <w:sz w:val="20"/>
        </w:rPr>
      </w:pPr>
      <w:r>
        <w:rPr>
          <w:rFonts w:ascii="Times New Roman" w:hAnsi="Times New Roman"/>
          <w:sz w:val="20"/>
        </w:rPr>
        <w:t xml:space="preserve">The Company’s forward-looking statements are based on assumptions that the Company believes to be reasonable but that may not prove to be accurate. Other unpredictable or unknown factors not discussed in this communication could also have material adverse effects on forward-looking statements. The Company does not assume an obligation to update any forward-looking statements, except as required by applicable law. These forward-looking statements speak only as of the date hereof.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 the Company will file with the SEC a proxy statement on Schedule 14A. The definitive proxy statement will be sent to the stockholders of the Company seeking their approval of the Transaction and other related matters. INVESTORS AND SECURITY HOLDERS ARE URGED TO READ THE PROXY STATEMENT ON SCHEDULE 14A WHEN IT BECOMES AVAILABLE, AS WELL AS ANY OTHER RELEVANT DOCUMENTS FILED WITH THE SEC IN CONNECTION WITH THE TRANSACTION OR INCORPORATED BY REFERENCE INTO THE PROXY STATEMENT, BECAUSE THEY WILL CONTAIN IMPORTANT INFORMATION REGARDING THE COMPANY, THE TRANSACTION AND RELATED MATTERS. Investors and security holders may obtain free copies of these documents, including the proxy statement, and other documents filed with the SEC by the Company through the website maintained by the SEC at https://www.sec.gov/edgar/browse/?CIK=1845815&amp;owner=exclude. </w:t>
      </w:r>
    </w:p>
    <w:p>
      <w:pPr>
        <w:pStyle w:val="TextBody"/>
        <w:bidi w:val="0"/>
        <w:spacing w:before="240" w:after="0"/>
        <w:jc w:val="left"/>
        <w:rPr>
          <w:rFonts w:ascii="Times New Roman" w:hAnsi="Times New Roman"/>
          <w:sz w:val="20"/>
        </w:rPr>
      </w:pPr>
      <w:r>
        <w:rPr>
          <w:rFonts w:ascii="Times New Roman" w:hAnsi="Times New Roman"/>
          <w:sz w:val="20"/>
        </w:rPr>
        <w:t xml:space="preserve">Copies of documents filed with the SEC by the Company will be made available free of charge by accessing the Company’s website at https://investor.payoneer.com/financials/sec-filings.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Nuvei and their respective directors and executive officers may be deemed to be participants in the solicitation of proxies from the stockholders of the Company in connection with the Transaction under the rules of the SEC. Information about the interests of the directors and executive officers of the Company and other persons who may be deemed to be participants in the solicitation of stockholders of the Company in connection with the Transaction and a description of their direct and indirect interests, by security holdings or otherwise, will be included in the proxy statement related to the Transaction, which will be filed with the SEC. Information about the directors and executive </w:t>
      </w:r>
      <w:r>
        <w:br w:type="page"/>
      </w:r>
    </w:p>
    <w:p>
      <w:pPr>
        <w:pStyle w:val="HorizontalLine"/>
        <w:pBdr>
          <w:bottom w:val="double" w:sz="6" w:space="0" w:color="808080"/>
        </w:pBdr>
        <w:bidi w:val="0"/>
        <w:jc w:val="left"/>
        <w:rPr/>
      </w:pPr>
      <w:r>
        <w:rPr/>
      </w:r>
    </w:p>
    <w:p>
      <w:pPr>
        <w:pStyle w:val="TextBody"/>
        <w:bidi w:val="0"/>
        <w:spacing w:before="0" w:after="0"/>
        <w:jc w:val="left"/>
        <w:rPr/>
      </w:pPr>
      <w:r>
        <w:rPr>
          <w:rFonts w:ascii="Times New Roman" w:hAnsi="Times New Roman"/>
          <w:sz w:val="20"/>
        </w:rPr>
        <w:t xml:space="preserve">officers of the Company and their ownership of the Company common stock is also set forth in the Company’s definitive proxy statement in connection with its 2026 Annual Meeting of Stockholders, as filed with the SEC on April 27, 2026 (and which is available at </w:t>
      </w:r>
      <w:hyperlink r:id="rId3">
        <w:r>
          <w:rPr>
            <w:rStyle w:val="InternetLink"/>
            <w:rFonts w:ascii="Times New Roman" w:hAnsi="Times New Roman"/>
            <w:sz w:val="20"/>
          </w:rPr>
          <w:t>https://www.sec.gov/ix?doc=/Archives/edgar/data/0001845815/000110465926049462/tm261500-1_def14a.htm</w:t>
        </w:r>
      </w:hyperlink>
      <w:r>
        <w:rPr>
          <w:rFonts w:ascii="Times New Roman" w:hAnsi="Times New Roman"/>
          <w:sz w:val="20"/>
        </w:rPr>
        <w:t xml:space="preserve">) and in the Company’s Annual Report on Form 10-K for the fiscal year ended December  31, 2025 (and which is available at </w:t>
      </w:r>
    </w:p>
    <w:p>
      <w:pPr>
        <w:pStyle w:val="TextBody"/>
        <w:bidi w:val="0"/>
        <w:spacing w:before="0" w:after="0"/>
        <w:jc w:val="left"/>
        <w:rPr/>
      </w:pPr>
      <w:hyperlink r:id="rId4">
        <w:r>
          <w:rPr>
            <w:rStyle w:val="InternetLink"/>
            <w:rFonts w:ascii="Times New Roman" w:hAnsi="Times New Roman"/>
            <w:sz w:val="20"/>
          </w:rPr>
          <w:t>https://www.sec.gov/ix?doc=/Archives/edgar/data/0001845815/000110465926020487/payo-20251231x10k.htm)</w:t>
        </w:r>
      </w:hyperlink>
      <w:r>
        <w:rPr>
          <w:rFonts w:ascii="Times New Roman" w:hAnsi="Times New Roman"/>
          <w:sz w:val="20"/>
        </w:rPr>
        <w:t xml:space="preserve">. Information about the directors and executive officers of the Company, their ownership of the Company common stock, and the Company’s transactions with related persons is set forth in the sections entitled “Directors, Executive Officers and Corporate Governance,” “Security Ownership of Certain Beneficial Owners and Management and Related Stockholder Matters,” and “Certain Relationships and Related Transactions, and Director Independence” included in the Company’s annual report on Form 10-K for the fiscal year ended December 31, 2025, which was filed with the SEC on February  26, 2026 (and which is available at </w:t>
      </w:r>
      <w:hyperlink r:id="rId5">
        <w:r>
          <w:rPr>
            <w:rStyle w:val="InternetLink"/>
            <w:rFonts w:ascii="Times New Roman" w:hAnsi="Times New Roman"/>
            <w:sz w:val="20"/>
          </w:rPr>
          <w:t>https://www.sec.gov/ix?doc=/Archives/edgar/data/0001845815/000110465926020487/payo-20251231x10k.htm)</w:t>
        </w:r>
      </w:hyperlink>
      <w:r>
        <w:rPr>
          <w:rFonts w:ascii="Times New Roman" w:hAnsi="Times New Roman"/>
          <w:sz w:val="20"/>
        </w:rPr>
        <w:t xml:space="preserve">, and in the sections entitled “Information Regarding the Board of Directors and Corporate Governance,” “Security Ownership of Certain Beneficial Owners and Management,” “Certain Relationships and Related Party Transactions,” and “Independence of the Board of Directors” included in the Company’s definitive proxy statement in connection with its 2026 Annual Meeting of Stockholders, as filed with the SEC on April 27, 2026 (and which is available at </w:t>
      </w:r>
      <w:hyperlink r:id="rId6">
        <w:r>
          <w:rPr>
            <w:rStyle w:val="InternetLink"/>
            <w:rFonts w:ascii="Times New Roman" w:hAnsi="Times New Roman"/>
            <w:sz w:val="20"/>
          </w:rPr>
          <w:t xml:space="preserve">https://www.sec.gov/ix?doc=/Archives/edgar/data/0001845815/000110465926049462/tm261500-1_def14a.htm) </w:t>
        </w:r>
      </w:hyperlink>
      <w:r>
        <w:rPr>
          <w:rFonts w:ascii="Times New Roman" w:hAnsi="Times New Roman"/>
          <w:sz w:val="20"/>
        </w:rPr>
        <w:t xml:space="preserve">. Additional information regarding the interests of such participants in the solicitation of proxies in respect of the Transaction will be included in the proxy statement and other relevant materials to be filed with the SEC when they become available. These documents can be obtained free of charge from the SEC’s website at </w:t>
      </w:r>
      <w:r>
        <w:rPr>
          <w:rFonts w:ascii="Times New Roman" w:hAnsi="Times New Roman"/>
          <w:sz w:val="20"/>
          <w:u w:val="single"/>
        </w:rPr>
        <w:t>www.sec.gov</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These communications are not intended to and shall not constitute an offer to sell or the solicitation of an offer to sell or the solicitation of an offer to buy any securities or the solicitation of any vote of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45815/000110465926020487/payo-20251231x10k.htm" TargetMode="External"/><Relationship Id="rId3" Type="http://schemas.openxmlformats.org/officeDocument/2006/relationships/hyperlink" Target="http://www.sec.gov/Archives/edgar/data/../../../ix?doc=/Archives/edgar/data/0001845815/000110465926049462/tm261500-1_def14a.htm" TargetMode="External"/><Relationship Id="rId4" Type="http://schemas.openxmlformats.org/officeDocument/2006/relationships/hyperlink" Target="http://www.sec.gov/Archives/edgar/data/../../../ix?doc=/Archives/edgar/data/0001845815/000110465926020487/payo-20251231x10k.htm" TargetMode="External"/><Relationship Id="rId5" Type="http://schemas.openxmlformats.org/officeDocument/2006/relationships/hyperlink" Target="http://www.sec.gov/Archives/edgar/data/../../../ix?doc=/Archives/edgar/data/0001845815/000110465926020487/payo-20251231x10k.htm" TargetMode="External"/><Relationship Id="rId6" Type="http://schemas.openxmlformats.org/officeDocument/2006/relationships/hyperlink" Target="http://www.sec.gov/Archives/edgar/data/../../../ix?doc=/Archives/edgar/data/0001845815/000110465926049462/tm261500-1_def14a.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2105</Words>
  <Characters>12741</Characters>
  <CharactersWithSpaces>14876</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