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Payoneer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Frederic D. Fenton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TCV, 250 Middlefield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Menlo Park, CA, 94025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614-8200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TECHNOLOGY CROSSOVER MANAGEMENT VIII,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34,197,116.00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34,197,116.00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34,197,116.00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TECHNOLOGY CROSSOVER MANAGEMENT VIII,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32,399,169.00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32,399,169.00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32,399,169.00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TCV VIII,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24,327,775.00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24,327,775.00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24,327,775.00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TCV VIII (A),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6,560,434.00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6,560,434.00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6,560,434.00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TCV VIII (B),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1,510,960.00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1,510,960.00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1,510,960.00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TCV MEMBER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1,797,947.00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1,797,947.00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1,797,947.00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TCV VIII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5,134.00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5,134.00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5,134.00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CHRISTOPHER P. MARSHALL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29,154.00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29,154.00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Payoneer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195 Broadway, 27th floor, New York, NEW YORK , 10007.</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("Amendment No. 2") amends and supplements the statement on Schedule 13D originally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by certain of the Reporting Persons on July 6, 2021 and as amended on November 13, 2024 (the "Schedule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13D"). Except as specifically provided herein, this Amendment No. 2 does not modify any of the information previously reported in the Schedule 13D. Unless otherwise indicated, each capitalized term used but not defined in</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this Amendment No. 2 shall have the meaning assigned to such term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80"/>
        <w:spacing w:after="0" w:line="244" w:lineRule="auto"/>
        <w:rPr>
          <w:sz w:val="20"/>
          <w:szCs w:val="20"/>
          <w:color w:val="auto"/>
        </w:rPr>
      </w:pPr>
      <w:r>
        <w:rPr>
          <w:rFonts w:ascii="Times New Roman" w:cs="Times New Roman" w:eastAsia="Times New Roman" w:hAnsi="Times New Roman"/>
          <w:sz w:val="21"/>
          <w:szCs w:val="21"/>
          <w:color w:val="auto"/>
        </w:rPr>
        <w:t>Item 2(a) of the Schedule 13D is amended and supplemented as follows: This Schedule 13D is being filed by (1) Technology Crossover Management VIII, Ltd., a Cayman Islands exempted company ("Management VIII"), (2) Technology Crossover Management VIII, L.P., a Cayman Islands exempted limited partnership ("TCM VIII"), (3) TCV VIII, L.P., a Cayman Islands exempted limited partnership ("TCV VIII"), (4) TCV VIII (A), L.P., a Cayman Islands exempted limited partnership ("TCV VIII (A)"), (5) TCV VIII (B), L.P., a Cayman Islands exempted limited partnership ("TCV VIII (B)"), (6) TCV Member Fund, L.P., a Cayman Islands exempted limited partnership ("Member Fund"), (7) TCV VIII Management, L.L.C., a Delaware limited liability company ("TCV VIII Management"), and (8) Christopher P. Marshall. The foregoing entities and individual are collectively referred to</w:t>
      </w:r>
    </w:p>
    <w:p>
      <w:pPr>
        <w:spacing w:after="0" w:line="4" w:lineRule="exact"/>
        <w:rPr>
          <w:sz w:val="20"/>
          <w:szCs w:val="20"/>
          <w:color w:val="auto"/>
        </w:rPr>
      </w:pPr>
    </w:p>
    <w:p>
      <w:pPr>
        <w:ind w:left="920" w:right="80" w:hanging="912"/>
        <w:spacing w:after="0" w:line="243"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herein as the "Reporting Persons." The agreement among the Reporting Persons relating to the joint filing of this Schedule 13D is attached as Exhibit 99.1. TCV VIII, TCV VIII (A), TCV VIII (B) and Member Fund (collectively, the "TCV Entities") are each principally engaged in the business of investing in securities of privately and publicly held companies. TCV VIII Management is principally engaged in the business of managing funds that invest in securities of privately and publicly held companies. Management VIII is the sole general partner of TCM VIII, which in turn is the sole general partner of TCV VIII, TCV VIII (A), TCV VIII (B) (the "TCV VIII Funds"). Management VIII is a general partner of Member Fund. Mr. Marshall is a Class A Director of Management VIII, a limited partner of TCM VIII and Member Fund and a member of TCV VIII Management. The address of the principal business and office of each of the Reporting Persons is c/o TCV, 250 Middlefield Road, Menlo Park, California 94025.</w:t>
      </w:r>
    </w:p>
    <w:p>
      <w:pPr>
        <w:spacing w:after="0" w:line="16" w:lineRule="exact"/>
        <w:rPr>
          <w:rFonts w:ascii="Times New Roman" w:cs="Times New Roman" w:eastAsia="Times New Roman" w:hAnsi="Times New Roman"/>
          <w:sz w:val="21"/>
          <w:szCs w:val="21"/>
          <w:color w:val="auto"/>
        </w:rPr>
      </w:pPr>
    </w:p>
    <w:p>
      <w:pPr>
        <w:ind w:left="920" w:right="2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2(b) of the Schedule 13D is amended as follows: The information set forth in Item 2(a) of this Schedule 13D is hereby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2(c) of the Schedule 13D is amended as follows: The information set forth in Item 2(a) of this Schedule 13D is hereby incorporated herein by reference.</w:t>
      </w:r>
    </w:p>
    <w:p>
      <w:pPr>
        <w:spacing w:after="0" w:line="17" w:lineRule="exact"/>
        <w:rPr>
          <w:sz w:val="20"/>
          <w:szCs w:val="20"/>
          <w:color w:val="auto"/>
        </w:rPr>
      </w:pPr>
    </w:p>
    <w:p>
      <w:pPr>
        <w:ind w:left="920" w:right="2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2(f) of the Schedule 13D is amended as follows: The information set forth in Item 2(a) of this Schedule 13D is hereby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8" w:lineRule="auto"/>
        <w:rPr>
          <w:sz w:val="20"/>
          <w:szCs w:val="20"/>
          <w:color w:val="auto"/>
        </w:rPr>
      </w:pPr>
      <w:r>
        <w:rPr>
          <w:rFonts w:ascii="Times New Roman" w:cs="Times New Roman" w:eastAsia="Times New Roman" w:hAnsi="Times New Roman"/>
          <w:sz w:val="22"/>
          <w:szCs w:val="22"/>
          <w:color w:val="auto"/>
        </w:rPr>
        <w:t>Item 3 of the Schedule 13D is supplemented as follows: In connection with his service as a member of the Board of Directors of the Company, Mr. Marshall was awarded an aggregate of 65,586 restricted stock units ("RSUs"), of which 34,288 RSUs have vested or vest within 60 days of the date hereof and 31,298 remain unvested and do not vest within 60 days of the date hereof. TCV VIII Management directly holds 5,134 shares of Common Stock received upon vesting of such RSUs.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Item 4 of the Schedule 13D is supplemented as follows: The information provided in Item 6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38" w:orient="portrait"/>
          <w:cols w:equalWidth="0" w:num="1">
            <w:col w:w="11160"/>
          </w:cols>
          <w:pgMar w:left="360" w:top="612" w:right="379" w:bottom="0" w:gutter="0" w:footer="0" w:header="0"/>
        </w:sectPr>
      </w:pPr>
    </w:p>
    <w:bookmarkStart w:id="8" w:name="page9"/>
    <w:bookmarkEnd w:id="8"/>
    <w:p>
      <w:pPr>
        <w:ind w:left="920" w:right="100" w:hanging="912"/>
        <w:spacing w:after="0" w:line="238"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of the Schedule 13D is amended as follows: The percentage of Common Stock beneficially owned is based on 334,778,664 shares of Common Stock outstanding as of April 30, 2026, as reported in the Quarterly Report on Form 10-Q for the quarter ended March 31, 2026, filed by the Company with the Securities and Exchange Commission on May 7, 2026. Excluded from beneficial ownership is the contingent right to earn-out shares and shares issuable upon RSUs that do not vest within 60 days of the date hereof.</w:t>
      </w:r>
    </w:p>
    <w:p>
      <w:pPr>
        <w:spacing w:after="0" w:line="15" w:lineRule="exact"/>
        <w:rPr>
          <w:rFonts w:ascii="Times New Roman" w:cs="Times New Roman" w:eastAsia="Times New Roman" w:hAnsi="Times New Roman"/>
          <w:sz w:val="22"/>
          <w:szCs w:val="22"/>
          <w:color w:val="auto"/>
        </w:rPr>
      </w:pPr>
    </w:p>
    <w:p>
      <w:pPr>
        <w:ind w:left="920" w:right="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5(b) of the Schedule 13D is amended as follows: The aggregate number of shares of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No. 2 and are incorporated herein by reference. Each of the TCV Entities and TCV VIII Management has the sole power to dispose or direct the disposition of the shares of Common Stock that it holds directly and has the sole power to vote or direct the vote of such shares. Management VIII, as the ultimate general partner of the TCV Entities, may be deemed to have the sole power to dispose or direct the disposition of the shares held by the TCV Entities and have the sole power to direct the vote of such shares of Common Stock. TCM VIII, as the direct general partner of the TCV VIII Funds, may also be deemed to have sole power to dispose or direct the disposition of the shares of Common Stock held by the TCV VIII Funds and have the sole power to direct the</w:t>
      </w:r>
    </w:p>
    <w:p>
      <w:pPr>
        <w:spacing w:after="0" w:line="7" w:lineRule="exact"/>
        <w:rPr>
          <w:rFonts w:ascii="Times New Roman" w:cs="Times New Roman" w:eastAsia="Times New Roman" w:hAnsi="Times New Roman"/>
          <w:sz w:val="22"/>
          <w:szCs w:val="22"/>
          <w:color w:val="auto"/>
        </w:rPr>
      </w:pPr>
    </w:p>
    <w:p>
      <w:pPr>
        <w:ind w:left="920" w:right="60" w:hanging="912"/>
        <w:spacing w:after="0" w:line="231"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vote of such shares of Common Stock. Each of Management VIII and TCM VIII disclaims beneficial ownership of the shares of Common Stock owned by the TCV Entities, except to the extent of their respective pecuniary interest therein. Christopher P. Marshall is a Class A Director of Management VIII, a limited partner of TCM VIII and Member Fund and a member of TCV VIII Management. Mr. Marshall has sole dispositive power over the shares issued upon settlement of the RSUs he holds directly. However, TCV VIII Management has a right to 100% of the pecuniary interest in such RSUs and the shares to be received upon the settlement of such RSUs. Mr. Marshall disclaims beneficial ownership of the shares of Common Stock held by the TCV Entities and TCV VIII Management and the shares of Common Stock held in his name for the benefit of TCV VIII Management, except to the extent of his pecuniary interest therein. The Reporting Persons may be deemed to be acting as a group in relation to their respective holdings in the Company but do not affirm the existence of any such group. Except as set forth in this Item 5(b), each of the Reporting Persons disclaims beneficial ownership of any Common Stock owned beneficially or of record by any other Reporting Person.</w:t>
      </w:r>
    </w:p>
    <w:p>
      <w:pPr>
        <w:spacing w:after="0" w:line="24"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of the Schedule 13D is supplemented as follows: No transactions with respect to the shares of Common Stock were effected during the past 60 days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2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herein, no other person is known to have the right to receive or the power to direct the receipt of dividends from, or the proceeds from the sale of the Common Stock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Item 6 of the Schedule 13D is supplemented as follows: On June 12, 2026, the Company entered into an Agreement and Plan of Merger (the "Merger Agreement") by and among the Company, Neon Maple Parent Inc., a corporation incorporated pursuant to the laws of Canada ("Nuvei"), and Panda Acquisition Sub Inc., a Delaware corporation and a wholly owned subsidiary of Nuvei ("Merger Sub"). Pursuant to the Merger Agreement, and upon the terms and subject to the conditions therein, Merger Sub will merge with and into the Company (the "Merger"), with the Company surviving the Merger as a wholly owned subsidiary of Nuvei. In connection with the transaction, on June 12, 2026, each of TCV VIII, TCV VIII (A), TCV VIII (B), Member Fund and TCV VIII Management (together, the "Supporting Stockholders") entered into a Voting and Support Agreement (the "Voting and Support Agreement") in favor of Nuvei concurrently with the execution of the Merger Agreement, pursuant to which such Supporting Stockholders have agreed, among other things and subject to the terms and conditions of the Voting and Support Agreement, to vote certain shares of Common Stock owned by them in favor of the approval and adoption of the Merger and the Merger Agreement. In addition, until the earlier of the Expiration Time (as defined below) and the receipt of the requisite vote in connection with the Merger, each of the Supporting Stockholders has agreed not to transfer any of such shares of Common Stock. The Voting and Support Agreement will terminate upon the earliest of</w:t>
      </w:r>
    </w:p>
    <w:p>
      <w:pPr>
        <w:ind w:left="1180" w:hanging="254"/>
        <w:spacing w:after="0" w:line="233" w:lineRule="auto"/>
        <w:tabs>
          <w:tab w:leader="none" w:pos="11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date and time as the Merger Agreement shall be validly terminated, (ii) the effective time of the Merger or</w:t>
      </w:r>
    </w:p>
    <w:p>
      <w:pPr>
        <w:ind w:left="1300" w:hanging="374"/>
        <w:spacing w:after="0"/>
        <w:tabs>
          <w:tab w:leader="none" w:pos="13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date and time of any amendment, modification, change or waiver of any provision of the Merger Agreement</w:t>
      </w:r>
    </w:p>
    <w:p>
      <w:pPr>
        <w:spacing w:after="0" w:line="1" w:lineRule="exact"/>
        <w:rPr>
          <w:rFonts w:ascii="Times New Roman" w:cs="Times New Roman" w:eastAsia="Times New Roman" w:hAnsi="Times New Roman"/>
          <w:sz w:val="21"/>
          <w:szCs w:val="21"/>
          <w:color w:val="auto"/>
        </w:rPr>
      </w:pPr>
    </w:p>
    <w:p>
      <w:pPr>
        <w:ind w:left="920" w:right="20" w:firstLine="6"/>
        <w:spacing w:after="0" w:line="232" w:lineRule="auto"/>
        <w:tabs>
          <w:tab w:leader="none" w:pos="122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reduces the amount or changes the form of the Merger Consideration (other than adjustments in accordance with the terms of the Merger Agreement) or (y) in a manner adverse in any material respect to the Supporting Stockholders (the earliest to occur of such times, the "Expiration Time"). The foregoing description of the Voting and Support Agreement does not purport to be complete and is subject to, and is qualified in its entirety by the terms and conditions of each the Voting and Support Agreement, a copy of which is filed as an exhibit under Item 7 hereto and is incorporated by reference herein, and the foregoing description of the Voting and Support Agreement is qualified in its entirety by reference thereto.</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22"/>
          <w:szCs w:val="22"/>
          <w:color w:val="auto"/>
        </w:rPr>
        <w:t>99.1 Joint Filing Agreement, dated as of June 16, 2026. 99.9 Voting and Support Agreement, dated June 12, 2026, by and between Neon Maple Parent Inc. and the Supporting Stockholders.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color w:val="auto"/>
        </w:rPr>
        <w:t>TECHNOLOGY CROSSOVER MANAGEMENT VIII, LTD.</w:t>
      </w:r>
    </w:p>
    <w:p>
      <w:pPr>
        <w:spacing w:after="0" w:line="153"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 D. Fenton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Frederic D. Fenton Its: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TECHNOLOGY CROSSOVER MANAGEMENT VIII,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 D. Fenton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Frederic D. Fenton Its: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TCV VIII,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 D. Fenton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Frederic D. Fenton Its: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TCV VIII (A),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 D. Fenton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Frederic D. Fenton Its: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TCV VIII (B),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 D. Fenton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Frederic D. Fenton Its: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TCV MEMBER FUND,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 D. Fenton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Frederic D. Fenton Its: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TCV VIII MANAGEMENT,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 D. Fenton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Frederic D. Fenton Its: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CHRISTOPHER P. MARSHALL</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 D. Fenton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Frederic D. Fenton Its: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ectPr>
          <w:pgSz w:w="11900" w:h="16838" w:orient="portrait"/>
          <w:cols w:equalWidth="0" w:num="1">
            <w:col w:w="9920"/>
          </w:cols>
          <w:pgMar w:left="1440" w:top="111" w:right="5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common stock, par value $0.01 per share, of Payoneer Global Inc., a Delaware corporation,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the 16th day of June, 2026.</w:t>
      </w:r>
    </w:p>
    <w:p>
      <w:pPr>
        <w:spacing w:after="0" w:line="200" w:lineRule="exact"/>
        <w:rPr>
          <w:sz w:val="20"/>
          <w:szCs w:val="20"/>
          <w:color w:val="auto"/>
        </w:rPr>
      </w:pP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TCV VIII, L.P.</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 its general</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Technology Crossover Management VIII, L.P., a Cayman Islands exempted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limited partnership, acting by its general 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Technology Crossover Management VIII, Ltd., a Cayman Islands exempted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Frederic D. Fenton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Frederic D. Fenton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TCV VIII (A), L.P.</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 its general</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Technology Crossover Management VIII, L.P., a Cayman Islands exempted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limited partnership, acting by its general 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Technology Crossover Management VIII, Ltd., a Cayman Islands exempted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Frederic D. Fenton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Frederic D. Fenton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TCV VIII (B), L.P.</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 its general</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Technology Crossover Management VIII, L.P., a Cayman Islands exempted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limited partnership, acting by its general 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Technology Crossover Management VIII, Ltd., a Cayman Islands exempted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Frederic D. Fenton</w:t>
            </w:r>
          </w:p>
        </w:tc>
      </w:tr>
      <w:tr>
        <w:trPr>
          <w:trHeight w:val="191"/>
        </w:trPr>
        <w:tc>
          <w:tcPr>
            <w:tcW w:w="6240" w:type="dxa"/>
            <w:vAlign w:val="bottom"/>
          </w:tcPr>
          <w:p>
            <w:pPr>
              <w:ind w:left="5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Frederic D. Fenton</w:t>
            </w:r>
          </w:p>
        </w:tc>
      </w:t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75"/>
        </w:trPr>
        <w:tc>
          <w:tcPr>
            <w:tcW w:w="62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1" w:name="page12"/>
    <w:bookmarkEnd w:id="11"/>
    <w:p>
      <w:pPr>
        <w:ind w:left="5660"/>
        <w:spacing w:after="0"/>
        <w:rPr>
          <w:sz w:val="20"/>
          <w:szCs w:val="20"/>
          <w:color w:val="auto"/>
        </w:rPr>
      </w:pPr>
      <w:r>
        <w:rPr>
          <w:rFonts w:ascii="Times New Roman" w:cs="Times New Roman" w:eastAsia="Times New Roman" w:hAnsi="Times New Roman"/>
          <w:sz w:val="18"/>
          <w:szCs w:val="18"/>
          <w:b w:val="1"/>
          <w:bCs w:val="1"/>
          <w:color w:val="auto"/>
        </w:rPr>
        <w:t>TCV MEMBER FUND, L.P.</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 its general</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Technology Crossover Management VIII, Ltd., a Cayman Islands exempted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Frederic D. Fenton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Frederic D. Fenton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TECHNOLOGY CROSSOVER MANAGEMENT VIII, L.P.</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 its general</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Technology Crossover Management VIII, Ltd., a Cayman Islands exempted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Frederic D. Fenton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Frederic D. Fenton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TECHNOLOGY CROSSOVER MANAGEMENT VIII, LTD.</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Cayman Islands exempted 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Frederic D. Fenton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Frederic D. Fenton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TCV VIII MANAGEMENT, L.L.C.</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Frederic D. Fenton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Frederic D. Fenton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CHRISTOPHER P. MARSHALL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Frederic D. Fenton</w:t>
            </w:r>
          </w:p>
        </w:tc>
      </w:tr>
      <w:tr>
        <w:trPr>
          <w:trHeight w:val="191"/>
        </w:trPr>
        <w:tc>
          <w:tcPr>
            <w:tcW w:w="6240" w:type="dxa"/>
            <w:vAlign w:val="bottom"/>
          </w:tcPr>
          <w:p>
            <w:pPr>
              <w:ind w:left="5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Frederic D. Fenton</w:t>
            </w:r>
          </w:p>
        </w:tc>
      </w:t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Its:</w:t>
            </w:r>
          </w:p>
        </w:tc>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891"/>
        </w:trPr>
        <w:tc>
          <w:tcPr>
            <w:tcW w:w="62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99.9</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CONFIDENTIAL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12, 2026, by and between Neon Maple Parent Inc., a corporation incorporated pursuant to the laws of Canada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whose names appear on the signature pages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            Concurrently with the execution and delivery of this Agreement, Payoneer Global Inc., a Delaware corporation, Parent and Panda Acquisition Sub Inc., a Delaware corporation and a wholly-owned indirect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entering into that certain Agreement and Plan of Merger, dated as of June 12, 2026 (as it may be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subject to the terms and conditions therein,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so that the Company is the surviving corporation in the Merger.</w:t>
      </w:r>
    </w:p>
    <w:p>
      <w:pPr>
        <w:spacing w:after="0" w:line="18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B.             As an inducement and condition for Parent to enter into the Merger Agreement, the Stockholders agree to enter into this Agreement with respect to all shares of common stock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that the Stockholders own, beneficially or of record as of the date hereof, and any additional shares of Common Stock that such Stockholders may acquire beneficial or record ownership of after the date hereof.</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As of the date hereof, the Stockholders are the beneficial or legal owners of record, and have either sole or shared voting power over, such number of shares of Common Stock as are indicated opposite each of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(together with any additional shares of Common Stock that the Stockholders may acquire “beneficial ownership” (as such term is defined in Rule 13d-3 under the Exchange Act) or record ownership of after the date hereof, the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Capitalized terms used but not otherwise defined herein shall have the respective meanings ascribed to such terms in the Merger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u w:val="single" w:color="auto"/>
          <w:color w:val="000000"/>
        </w:rPr>
        <w:t>Agreement to Not Transfer the Covered Shares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2.1           </w:t>
      </w:r>
      <w:r>
        <w:rPr>
          <w:rFonts w:ascii="Times New Roman" w:cs="Times New Roman" w:eastAsia="Times New Roman" w:hAnsi="Times New Roman"/>
          <w:sz w:val="18"/>
          <w:szCs w:val="18"/>
          <w:u w:val="single" w:color="auto"/>
          <w:color w:val="000000"/>
        </w:rPr>
        <w:t>No Transfer of Covered Shares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944"/>
        <w:spacing w:after="0" w:line="266" w:lineRule="auto"/>
        <w:rPr>
          <w:sz w:val="20"/>
          <w:szCs w:val="20"/>
          <w:color w:val="auto"/>
        </w:rPr>
      </w:pPr>
      <w:r>
        <w:rPr>
          <w:rFonts w:ascii="Times New Roman" w:cs="Times New Roman" w:eastAsia="Times New Roman" w:hAnsi="Times New Roman"/>
          <w:sz w:val="18"/>
          <w:szCs w:val="18"/>
          <w:color w:val="010000"/>
        </w:rPr>
        <w:t xml:space="preserve">(a)            </w:t>
      </w:r>
      <w:r>
        <w:rPr>
          <w:rFonts w:ascii="Times New Roman" w:cs="Times New Roman" w:eastAsia="Times New Roman" w:hAnsi="Times New Roman"/>
          <w:sz w:val="18"/>
          <w:szCs w:val="18"/>
          <w:color w:val="000000"/>
        </w:rPr>
        <w:t>Until the earlier to occur of (i) the Expiration Time (as defined below) and (ii) receipt of the Requisite Company Vote,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Stockholders agree not to Transfer or cause or permit the Transfer of any Covered Shares. Any Transfer or attempted Transfer of any Covered Shares in violation of this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shall be null and void and of no effect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ind w:firstLine="1944"/>
        <w:spacing w:after="0" w:line="251"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For purposes of this Agreement, “</w:t>
      </w:r>
      <w:r>
        <w:rPr>
          <w:rFonts w:ascii="Times New Roman" w:cs="Times New Roman" w:eastAsia="Times New Roman" w:hAnsi="Times New Roman"/>
          <w:sz w:val="18"/>
          <w:szCs w:val="18"/>
          <w:u w:val="single" w:color="auto"/>
          <w:color w:val="000000"/>
        </w:rPr>
        <w:t>Transfer</w:t>
      </w:r>
      <w:r>
        <w:rPr>
          <w:rFonts w:ascii="Times New Roman" w:cs="Times New Roman" w:eastAsia="Times New Roman" w:hAnsi="Times New Roman"/>
          <w:sz w:val="18"/>
          <w:szCs w:val="18"/>
          <w:color w:val="000000"/>
        </w:rPr>
        <w:t>” means (i) any direct or indirect offer, sale, assignment, encumbrance, pledge,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hypothecation, disposition, loan or other transfer (by operation of Law or otherwise), either voluntary or involuntary, or entry into any option or other Contract, arrangement or understanding with respect to any offer, sale, assignment, encumbrance, pledge, hypothecation, disposition, loan or other transfer (by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or power of attorney (other than this Agreement) with respect to such Covered Shares, (iii) entry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or commitment (whether or not in writing) to take any of the actions referred to in the foregoing clauses (i), (ii) or (iii) above. Notwithstanding anything to the contrary in this Agreement, any Stockholder may Transfer any or all of the Covered Shares, in accordance with applicable Law, (A) to such Stockholder’s Affiliates, (B) to any Person by will or the laws of descent and distribution, (C) to any spouse, lineal descendants, siblings or parents of such Stockholder by gift which is made to achieve the estate planning objectives of such Stockholder, (D) to any trust or similar entity or any corporation, limited liability company or partnership (1) substantially all of the economic interests of which are held by or for the benefit of such Stockholder or its spouse, lineal descendants, siblings or parents and (2) which is organized to achieve the estate planning objectives of such Stockholder, (E) under any existing stock sale plan adopted in accordance with Rule 10b5-1(c) under the Exchange Act for the sale of shares of Common Stock, (F) to any charitable organization that is tax exempt under Section 501(c)(3) of the Code or to a donor advised fund and (G) to satisfy any Tax liability incurred by such Stockholder in respect of vesting, exercise or settlement of Company Equity Awards held by such Stockholder; provided that, prior to and as a condition to the effectiveness of any such Transfer pursuant to the foregoing clauses (A) through (D) or, to the extent such Transfer by such Stockholder exceeds the number of Covered Shares specified for such Stockholder on its signature page hereto, (F), each Person to whom any of such Covered Shares or any interest in any of such Covered Shares is or may be transferred shall have executed and delivered to Parent a counterpart of this Agreement in a form reasonably acceptable to Parent pursuant to which such transferee shall be bound by all of the terms and provisions hereof, in which case such transferee shall be deemed a Stockholder hereunder. If any involuntary Transfer of any of the Covered Shares shall occur (including, but not limited to, a sale in any bankruptcy, a sale to a purchaser at any creditor’s or court sale or upon the death of such Stockholder pursuant to the terms of any trust or will of such Stockholder or by the applicable Laws of intestate succession),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valid termination of this Agreement.</w:t>
      </w:r>
    </w:p>
    <w:p>
      <w:pPr>
        <w:spacing w:after="0" w:line="204"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2.2            </w:t>
      </w:r>
      <w:r>
        <w:rPr>
          <w:rFonts w:ascii="Times New Roman" w:cs="Times New Roman" w:eastAsia="Times New Roman" w:hAnsi="Times New Roman"/>
          <w:sz w:val="18"/>
          <w:szCs w:val="18"/>
          <w:u w:val="single" w:color="auto"/>
          <w:color w:val="000000"/>
        </w:rPr>
        <w:t>Update of Beneficial Ownership Information</w:t>
      </w:r>
      <w:r>
        <w:rPr>
          <w:rFonts w:ascii="Times New Roman" w:cs="Times New Roman" w:eastAsia="Times New Roman" w:hAnsi="Times New Roman"/>
          <w:sz w:val="18"/>
          <w:szCs w:val="18"/>
          <w:color w:val="000000"/>
        </w:rPr>
        <w:t>. Promptly following the written request of Parent, or upon a Stockholder’s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acquisition of beneficial ownership or record ownership of additional shares of Common Stock after the date hereof, such Stockholder will send to Parent a written notice setting forth the number of Covered Shares beneficially owned by such Stockholder and indicating the capacity in which such Covered Shares are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u w:val="single" w:color="auto"/>
          <w:color w:val="000000"/>
        </w:rPr>
        <w:t>Agreement to Vote the Covered Shares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color w:val="000000"/>
        </w:rPr>
        <w:t>Until the Expiration Time, at every meeting of the Company’s stockholders at which any of the following matters are to be voted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 (and at every adjournment or postponement thereof), and on any action or approval of the Company’s stockholders by written consent with respect to any of the following matters, the Stockholders shall vote (including via proxy) the Covered Shares (or cause the holder of record on any applicable record date to vote (including via proxy) the Covered Shares):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 xml:space="preserve">(a)            </w:t>
      </w:r>
      <w:r>
        <w:rPr>
          <w:rFonts w:ascii="Times New Roman" w:cs="Times New Roman" w:eastAsia="Times New Roman" w:hAnsi="Times New Roman"/>
          <w:sz w:val="18"/>
          <w:szCs w:val="18"/>
          <w:color w:val="000000"/>
        </w:rPr>
        <w:t>in favor of the approval of the Merger Agreement and the Transactions; and</w:t>
      </w:r>
    </w:p>
    <w:p>
      <w:pPr>
        <w:spacing w:after="0" w:line="225" w:lineRule="exact"/>
        <w:rPr>
          <w:sz w:val="20"/>
          <w:szCs w:val="20"/>
          <w:color w:val="auto"/>
        </w:rPr>
      </w:pPr>
    </w:p>
    <w:p>
      <w:pPr>
        <w:ind w:right="40" w:firstLine="1944"/>
        <w:spacing w:after="0" w:line="258"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against (i) any action or agreement that would reasonably be expected to result in a breach of the Merger Agreement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Company or result in any condition set forth in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00000"/>
        </w:rPr>
        <w:t xml:space="preserve"> of the Merger Agreement not being satisfied prior to the Outside Date, (ii) any Acquisition Proposal, or any other proposal made in opposition to, in competition with, or inconsistent with the Merger Agreement and the Transactions and (iii) any other action, agreement or proposal which would reasonably be expected to delay, postpone or adversely affect in any material respect the Company’s ability to consummate the Merger and the Transactions.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except with respect to the matters set forth in this Section 3‎.1, the Stockholders do not have any obligation to vote the Covered Shares in any particular manner and, with respect to matters other than the matters set forth in this Section 3‎.1, each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-313055</wp:posOffset>
            </wp:positionV>
            <wp:extent cx="5137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-175895</wp:posOffset>
            </wp:positionV>
            <wp:extent cx="5143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5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color w:val="000000"/>
        </w:rPr>
        <w:t>Until the Expiration Time, at every meeting of the Company’s stockholders (and at every adjournment or postponement thereof),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Stockholders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u w:val="single" w:color="auto"/>
          <w:color w:val="000000"/>
        </w:rPr>
        <w:t>Waiver of Appraisal Rights</w:t>
      </w:r>
      <w:r>
        <w:rPr>
          <w:rFonts w:ascii="Times New Roman" w:cs="Times New Roman" w:eastAsia="Times New Roman" w:hAnsi="Times New Roman"/>
          <w:sz w:val="18"/>
          <w:szCs w:val="18"/>
          <w:color w:val="000000"/>
        </w:rPr>
        <w:t>. Solely with respect to the Merger Agreement and the Transactions, each Stockholder hereby waives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dissenters’ or appraisal rights under Section 262 of the DGCL with respect to all Covered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5" w:name="page16"/>
    <w:bookmarkEnd w:id="15"/>
    <w:p>
      <w:pPr>
        <w:ind w:right="120" w:firstLine="648"/>
        <w:spacing w:after="0" w:line="255"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u w:val="single" w:color="auto"/>
          <w:color w:val="000000"/>
        </w:rPr>
        <w:t>No Legal Action</w:t>
      </w:r>
      <w:r>
        <w:rPr>
          <w:rFonts w:ascii="Times New Roman" w:cs="Times New Roman" w:eastAsia="Times New Roman" w:hAnsi="Times New Roman"/>
          <w:sz w:val="18"/>
          <w:szCs w:val="18"/>
          <w:color w:val="000000"/>
        </w:rPr>
        <w:t>. The Stockholders shall not, and shall direct their respective Representatives not to, bring, commence, institute, maintain,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prosecute or voluntarily aid any claim, appeal, or proceeding (derivative or otherwise) which (a) challenges the validity of or seeks to enjoin the operation of any provision of this Agreement or the Merger Agreement (including any claims seeking to enjoin or delay the Closing), (b) alleges that the execution and delivery of this Agreement by the Stockholders (or their performance hereunder) breaches any fiduciary duty of the Company Board (or any member thereof) or any duty that such Stockholders have (or may be alleged to have) to the Company or to the other holders of the Common Stock or (c) to the fullest extent permitted under applicable Law, alleges any breach of duty of the Company Board (or any member thereof) in connection with the Merger Agreement and the Transactions.</w:t>
      </w:r>
    </w:p>
    <w:p>
      <w:pPr>
        <w:spacing w:after="0" w:line="189"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010000"/>
        </w:rPr>
        <w:t>6.             </w:t>
      </w:r>
      <w:r>
        <w:rPr>
          <w:rFonts w:ascii="Times New Roman" w:cs="Times New Roman" w:eastAsia="Times New Roman" w:hAnsi="Times New Roman"/>
          <w:sz w:val="17"/>
          <w:szCs w:val="17"/>
          <w:u w:val="single" w:color="auto"/>
          <w:color w:val="000000"/>
        </w:rPr>
        <w:t>Fiduciary Duties</w:t>
      </w:r>
      <w:r>
        <w:rPr>
          <w:rFonts w:ascii="Times New Roman" w:cs="Times New Roman" w:eastAsia="Times New Roman" w:hAnsi="Times New Roman"/>
          <w:sz w:val="17"/>
          <w:szCs w:val="17"/>
          <w:color w:val="000000"/>
        </w:rPr>
        <w:t>. Each Stockholder is entering into this Agreement solely in its, his or her capacity as the record holder or beneficial owner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of such Stockholder’s Covered Shares. Nothing in this Agreement shall limit any actions taken by any of such Stockholder’s or its, his or her Affiliates’ designee(s) or beneficial owner(s) serving on the Company Board or any such Stockholder in his or her capacity as a director, officer or employee of the Company, including from complying with his or her fiduciary obligations while acting in such capacity as a director, officer or employee of the Company.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u w:val="single" w:color="auto"/>
          <w:color w:val="000000"/>
        </w:rPr>
        <w:t>Representations and Warranties of the Stockholders</w:t>
      </w:r>
      <w:r>
        <w:rPr>
          <w:rFonts w:ascii="Times New Roman" w:cs="Times New Roman" w:eastAsia="Times New Roman" w:hAnsi="Times New Roman"/>
          <w:sz w:val="18"/>
          <w:szCs w:val="18"/>
          <w:color w:val="000000"/>
        </w:rPr>
        <w:t>. Each Stockholder hereby severally, and not jointly, represents and warrants to Parent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7.1            </w:t>
      </w:r>
      <w:r>
        <w:rPr>
          <w:rFonts w:ascii="Times New Roman" w:cs="Times New Roman" w:eastAsia="Times New Roman" w:hAnsi="Times New Roman"/>
          <w:sz w:val="18"/>
          <w:szCs w:val="18"/>
          <w:u w:val="single" w:color="auto"/>
          <w:color w:val="000000"/>
        </w:rPr>
        <w:t>Due Authority</w:t>
      </w:r>
      <w:r>
        <w:rPr>
          <w:rFonts w:ascii="Times New Roman" w:cs="Times New Roman" w:eastAsia="Times New Roman" w:hAnsi="Times New Roman"/>
          <w:sz w:val="18"/>
          <w:szCs w:val="18"/>
          <w:color w:val="000000"/>
        </w:rPr>
        <w:t>. Such Stockholder has the full power and capacity to make, enter into and carry out the terms of this Agreement. If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Stockholder is an entity, such Stockholder that is an entity is duly organized, validly existing and in good standing in accordance with the laws of its jurisdiction of formation. Such Stockholder has the power and authority to enter into and perform this Agreement and any instruments or other documents executed pursuant hereto. This Agreement and any instruments or other documents executed pursuant hereto, and the execution, delivery and performance hereof and thereof have been duly authorized and approved by all necessary corporate action on the part of such Stockholder (if applicable). This Agreement and the instruments and documents executed pursuant hereto constitutes, or when executed will constitute (assuming due authorization, execution and delivery of this Agreement and the instruments and documents executed pursuant hereto by the other parties thereto), the valid and binding obligations of such Stockholder, enforceable against such Stockholder in accordance with its terms, except as enforcement may be limited by the Enforceability Exceptions.</w:t>
      </w:r>
    </w:p>
    <w:p>
      <w:pPr>
        <w:spacing w:after="0" w:line="188"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7.2            </w:t>
      </w:r>
      <w:r>
        <w:rPr>
          <w:rFonts w:ascii="Times New Roman" w:cs="Times New Roman" w:eastAsia="Times New Roman" w:hAnsi="Times New Roman"/>
          <w:sz w:val="18"/>
          <w:szCs w:val="18"/>
          <w:u w:val="single" w:color="auto"/>
          <w:color w:val="000000"/>
        </w:rPr>
        <w:t>Ownership of the Covered Shares</w:t>
      </w:r>
      <w:r>
        <w:rPr>
          <w:rFonts w:ascii="Times New Roman" w:cs="Times New Roman" w:eastAsia="Times New Roman" w:hAnsi="Times New Roman"/>
          <w:sz w:val="18"/>
          <w:szCs w:val="18"/>
          <w:color w:val="000000"/>
        </w:rPr>
        <w:t>. (a) Such Stockholder is, as of the date hereof, the beneficial or record owner of the Covered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Shares indicated on </w:t>
      </w:r>
      <w:r>
        <w:rPr>
          <w:rFonts w:ascii="Times New Roman" w:cs="Times New Roman" w:eastAsia="Times New Roman" w:hAnsi="Times New Roman"/>
          <w:sz w:val="18"/>
          <w:szCs w:val="18"/>
          <w:u w:val="single" w:color="auto"/>
          <w:color w:val="000000"/>
        </w:rPr>
        <w:t>Schedule A</w:t>
      </w:r>
      <w:r>
        <w:rPr>
          <w:rFonts w:ascii="Times New Roman" w:cs="Times New Roman" w:eastAsia="Times New Roman" w:hAnsi="Times New Roman"/>
          <w:sz w:val="18"/>
          <w:szCs w:val="18"/>
          <w:color w:val="000000"/>
        </w:rPr>
        <w:t xml:space="preserve"> hereto opposite such Stockholder’s name, free and clear of any and all Liens, other than those created by this Agreement, applicable federal or state securities laws, or as disclosed on </w:t>
      </w:r>
      <w:r>
        <w:rPr>
          <w:rFonts w:ascii="Times New Roman" w:cs="Times New Roman" w:eastAsia="Times New Roman" w:hAnsi="Times New Roman"/>
          <w:sz w:val="18"/>
          <w:szCs w:val="18"/>
          <w:u w:val="single" w:color="auto"/>
          <w:color w:val="000000"/>
        </w:rPr>
        <w:t>Schedule A</w:t>
      </w:r>
      <w:r>
        <w:rPr>
          <w:rFonts w:ascii="Times New Roman" w:cs="Times New Roman" w:eastAsia="Times New Roman" w:hAnsi="Times New Roman"/>
          <w:sz w:val="18"/>
          <w:szCs w:val="18"/>
          <w:color w:val="000000"/>
        </w:rPr>
        <w:t xml:space="preserve"> and (b) such Stockholder has sole voting power over all of the Covered Shares beneficially owned by such Stockholder. Such Stockholder has not entered into any agreement to Transfer any Covered Shares. As of the date hereof, such Stockholder does not own, beneficially or of record, any shares of Common Stock or other voting shares of the Company (or any securities convertible, exercisable or exchangeable for, or rights to purchase or acquire, any shares of Common Stock or other voting shares of the Company) other than the shares of Common Stock set forth on </w:t>
      </w:r>
      <w:r>
        <w:rPr>
          <w:rFonts w:ascii="Times New Roman" w:cs="Times New Roman" w:eastAsia="Times New Roman" w:hAnsi="Times New Roman"/>
          <w:sz w:val="18"/>
          <w:szCs w:val="18"/>
          <w:u w:val="single" w:color="auto"/>
          <w:color w:val="000000"/>
        </w:rPr>
        <w:t>Schedule A</w:t>
      </w:r>
      <w:r>
        <w:rPr>
          <w:rFonts w:ascii="Times New Roman" w:cs="Times New Roman" w:eastAsia="Times New Roman" w:hAnsi="Times New Roman"/>
          <w:sz w:val="18"/>
          <w:szCs w:val="18"/>
          <w:color w:val="000000"/>
        </w:rPr>
        <w:t xml:space="preserve"> opposite such Stockholder’s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010000"/>
        </w:rPr>
        <w:t xml:space="preserve">7.3            </w:t>
      </w:r>
      <w:r>
        <w:rPr>
          <w:rFonts w:ascii="Times New Roman" w:cs="Times New Roman" w:eastAsia="Times New Roman" w:hAnsi="Times New Roman"/>
          <w:sz w:val="18"/>
          <w:szCs w:val="18"/>
          <w:u w:val="single" w:color="auto"/>
          <w:color w:val="000000"/>
        </w:rPr>
        <w:t>No Conflict; Consents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944"/>
        <w:spacing w:after="0" w:line="255" w:lineRule="auto"/>
        <w:rPr>
          <w:sz w:val="20"/>
          <w:szCs w:val="20"/>
          <w:color w:val="auto"/>
        </w:rPr>
      </w:pPr>
      <w:r>
        <w:rPr>
          <w:rFonts w:ascii="Times New Roman" w:cs="Times New Roman" w:eastAsia="Times New Roman" w:hAnsi="Times New Roman"/>
          <w:sz w:val="18"/>
          <w:szCs w:val="18"/>
          <w:color w:val="010000"/>
        </w:rPr>
        <w:t xml:space="preserve">(a)            </w:t>
      </w:r>
      <w:r>
        <w:rPr>
          <w:rFonts w:ascii="Times New Roman" w:cs="Times New Roman" w:eastAsia="Times New Roman" w:hAnsi="Times New Roman"/>
          <w:sz w:val="18"/>
          <w:szCs w:val="18"/>
          <w:color w:val="000000"/>
        </w:rPr>
        <w:t>The execution and delivery of this Agreement and any instruments or other documents executed pursuant hereto by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Stockholder do not, and the consummation of the transactions contemplated by this Agreement will not, (i) constitute a breach or violation of or default under any Law, (ii) violate, conflict with, result in a breach of any provision or the loss of any benefit under, constitute a default (or an event that with notice, or lapse of time, or both, would constitute a default under), result in the termination or a right of termination or cancellation under or accelerate the performance required by, any of the terms or conditions or provisions of any note, bond, mortgage, indenture, deed of trust, license, lease agreement or other instrument or obligation to which such Stockholder is party, or by which it or its properties or assets are bound, or (iii) constitute a breach or violation of or a default under the Constituent Documents of such Stockholder (if applicable).</w:t>
      </w:r>
    </w:p>
    <w:p>
      <w:pPr>
        <w:spacing w:after="0" w:line="189" w:lineRule="exact"/>
        <w:rPr>
          <w:sz w:val="20"/>
          <w:szCs w:val="20"/>
          <w:color w:val="auto"/>
        </w:rPr>
      </w:pPr>
    </w:p>
    <w:p>
      <w:pPr>
        <w:ind w:right="60" w:firstLine="1944"/>
        <w:spacing w:after="0" w:line="261"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No such Stockholder, nor any of such Stockholder’s Affiliates (excluding, for the avoidance of doubt, the Company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its Subsidiaries), is required to obtain any order, permit, consent, approval or authorization of, nor required to make any notice, report, declaration or filing with, any Governmental Entity or other third-party in connection with the execution and delivery of this Agreement or the consummation of the transactions contemplated hereby.</w:t>
      </w:r>
    </w:p>
    <w:p>
      <w:pPr>
        <w:spacing w:after="0" w:line="180"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7.4            </w:t>
      </w:r>
      <w:r>
        <w:rPr>
          <w:rFonts w:ascii="Times New Roman" w:cs="Times New Roman" w:eastAsia="Times New Roman" w:hAnsi="Times New Roman"/>
          <w:sz w:val="18"/>
          <w:szCs w:val="18"/>
          <w:u w:val="single" w:color="auto"/>
          <w:color w:val="000000"/>
        </w:rPr>
        <w:t>Absence of Litigation</w:t>
      </w:r>
      <w:r>
        <w:rPr>
          <w:rFonts w:ascii="Times New Roman" w:cs="Times New Roman" w:eastAsia="Times New Roman" w:hAnsi="Times New Roman"/>
          <w:sz w:val="18"/>
          <w:szCs w:val="18"/>
          <w:color w:val="000000"/>
        </w:rPr>
        <w:t>. There is no legal action pending against, or, to the knowledge of such Stockholder, threatened against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affecting such Stockholder that could reasonably be expected to materially impair or materially adversely affect the ability of such Stockholder to perform such Stockholder’s obligations hereunder or to consummate the transactions contemplated hereby on a timely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u w:val="single" w:color="auto"/>
          <w:color w:val="000000"/>
        </w:rPr>
        <w:t>Representations and Warranties of Parent</w:t>
      </w:r>
      <w:r>
        <w:rPr>
          <w:rFonts w:ascii="Times New Roman" w:cs="Times New Roman" w:eastAsia="Times New Roman" w:hAnsi="Times New Roman"/>
          <w:sz w:val="18"/>
          <w:szCs w:val="18"/>
          <w:color w:val="000000"/>
        </w:rPr>
        <w:t>. Parent hereby represents and warrants to the Stockholders that:</w:t>
      </w:r>
    </w:p>
    <w:p>
      <w:pPr>
        <w:spacing w:after="0" w:line="225"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8.1            </w:t>
      </w:r>
      <w:r>
        <w:rPr>
          <w:rFonts w:ascii="Times New Roman" w:cs="Times New Roman" w:eastAsia="Times New Roman" w:hAnsi="Times New Roman"/>
          <w:sz w:val="18"/>
          <w:szCs w:val="18"/>
          <w:u w:val="single" w:color="auto"/>
          <w:color w:val="000000"/>
        </w:rPr>
        <w:t>Due Authority</w:t>
      </w:r>
      <w:r>
        <w:rPr>
          <w:rFonts w:ascii="Times New Roman" w:cs="Times New Roman" w:eastAsia="Times New Roman" w:hAnsi="Times New Roman"/>
          <w:sz w:val="18"/>
          <w:szCs w:val="18"/>
          <w:color w:val="000000"/>
        </w:rPr>
        <w:t>. Parent is duly organized, validly existing and in good standing in accordance with the laws of its jurisdiction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formation. Parent has the power and authority to enter into and perform this Agreement and any instruments or other documents executed pursuant hereto. This Agreement and any instruments or other documents executed pursuant hereto, and the execution, delivery and performance hereof and thereof have been duly authorized and approved by all necessary corporate action on the part of Parent. This Agreement and the instruments and documents executed pursuant hereto constitutes, or when executed will constitute (assuming due authorization, execution and delivery of this Agreement and the instruments and documents executed pursuant hereto by the other parties thereto), the valid and binding obligations of Parent, enforceable against Parent in accordance with its terms, except as enforcement may be limited by Enforceability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ind w:left="1300"/>
        <w:spacing w:after="0"/>
        <w:rPr>
          <w:sz w:val="20"/>
          <w:szCs w:val="20"/>
          <w:color w:val="auto"/>
        </w:rPr>
      </w:pPr>
      <w:r>
        <w:rPr>
          <w:rFonts w:ascii="Times New Roman" w:cs="Times New Roman" w:eastAsia="Times New Roman" w:hAnsi="Times New Roman"/>
          <w:sz w:val="18"/>
          <w:szCs w:val="18"/>
          <w:color w:val="010000"/>
        </w:rPr>
        <w:t xml:space="preserve">8.2            </w:t>
      </w:r>
      <w:r>
        <w:rPr>
          <w:rFonts w:ascii="Times New Roman" w:cs="Times New Roman" w:eastAsia="Times New Roman" w:hAnsi="Times New Roman"/>
          <w:sz w:val="18"/>
          <w:szCs w:val="18"/>
          <w:u w:val="single" w:color="auto"/>
          <w:color w:val="000000"/>
        </w:rPr>
        <w:t>No Conflict; Consents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 w:firstLine="1944"/>
        <w:spacing w:after="0" w:line="258" w:lineRule="auto"/>
        <w:rPr>
          <w:sz w:val="20"/>
          <w:szCs w:val="20"/>
          <w:color w:val="auto"/>
        </w:rPr>
      </w:pPr>
      <w:r>
        <w:rPr>
          <w:rFonts w:ascii="Times New Roman" w:cs="Times New Roman" w:eastAsia="Times New Roman" w:hAnsi="Times New Roman"/>
          <w:sz w:val="18"/>
          <w:szCs w:val="18"/>
          <w:color w:val="010000"/>
        </w:rPr>
        <w:t xml:space="preserve">(a)            </w:t>
      </w:r>
      <w:r>
        <w:rPr>
          <w:rFonts w:ascii="Times New Roman" w:cs="Times New Roman" w:eastAsia="Times New Roman" w:hAnsi="Times New Roman"/>
          <w:sz w:val="18"/>
          <w:szCs w:val="18"/>
          <w:color w:val="000000"/>
        </w:rPr>
        <w:t>The execution and delivery of this Agreement and any instruments or other documents executed pursuant hereto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Parent do not, and the consummation of the transactions contemplated by this Agreement will not, constitute: (i) a breach or violation of or default under any Law, which breach, violation or default would reasonably be expected to materially impede, delay or prevent Parent from entering into this Agreement or have a material adverse effect on Parent’s ability to timely consummate the transactions contemplated hereby or perform its obligations hereunder, or (ii) a breach or violation of or a default under the Constituent Documents of Parent.</w:t>
      </w:r>
    </w:p>
    <w:p>
      <w:pPr>
        <w:spacing w:after="0" w:line="183" w:lineRule="exact"/>
        <w:rPr>
          <w:sz w:val="20"/>
          <w:szCs w:val="20"/>
          <w:color w:val="auto"/>
        </w:rPr>
      </w:pPr>
    </w:p>
    <w:p>
      <w:pPr>
        <w:ind w:right="20" w:firstLine="1944"/>
        <w:spacing w:after="0" w:line="266"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Neither Parent, nor any of its Affiliates, is required to obtain any order, permit, consent, approval or authorization of, nor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to make any notice, report, declaration or filing with, any Governmental Entity or other third-party in connection with the execution and delivery of this Agreement or the consummation of the transactions contemplated hereby.</w:t>
      </w:r>
    </w:p>
    <w:p>
      <w:pPr>
        <w:spacing w:after="0" w:line="17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8.3            </w:t>
      </w:r>
      <w:r>
        <w:rPr>
          <w:rFonts w:ascii="Times New Roman" w:cs="Times New Roman" w:eastAsia="Times New Roman" w:hAnsi="Times New Roman"/>
          <w:sz w:val="18"/>
          <w:szCs w:val="18"/>
          <w:u w:val="single" w:color="auto"/>
          <w:color w:val="000000"/>
        </w:rPr>
        <w:t>Absence of Litigation</w:t>
      </w:r>
      <w:r>
        <w:rPr>
          <w:rFonts w:ascii="Times New Roman" w:cs="Times New Roman" w:eastAsia="Times New Roman" w:hAnsi="Times New Roman"/>
          <w:sz w:val="18"/>
          <w:szCs w:val="18"/>
          <w:color w:val="000000"/>
        </w:rPr>
        <w:t>. There is no legal action pending against, or, to the knowledge of Parent, threatened against or affecting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Parent that could reasonably be expected to materially impair or materially adversely affect the ability of Parent to perform its obligations hereunder or to consummate the transactions contemplated hereby on a timely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u w:val="single" w:color="auto"/>
          <w:color w:val="000000"/>
        </w:rPr>
        <w:t>Miscellaneous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9.1            </w:t>
      </w:r>
      <w:r>
        <w:rPr>
          <w:rFonts w:ascii="Times New Roman" w:cs="Times New Roman" w:eastAsia="Times New Roman" w:hAnsi="Times New Roman"/>
          <w:sz w:val="18"/>
          <w:szCs w:val="18"/>
          <w:u w:val="single" w:color="auto"/>
          <w:color w:val="000000"/>
        </w:rPr>
        <w:t>No Ownership Interest</w:t>
      </w:r>
      <w:r>
        <w:rPr>
          <w:rFonts w:ascii="Times New Roman" w:cs="Times New Roman" w:eastAsia="Times New Roman" w:hAnsi="Times New Roman"/>
          <w:sz w:val="18"/>
          <w:szCs w:val="18"/>
          <w:color w:val="000000"/>
        </w:rPr>
        <w:t>. Nothing contained in this Agreement shall be deemed to vest in Parent any direct or indirect ownership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incidence of ownership of or with respect to the Covered Shares. All rights, ownership and economic benefits of and relating to the Covered Shares shall remain vested in and belong to the Stockholders, and Parent shall have no authority to direct the Stockholders in the voting or disposition of any of the Covered Shares, except as otherwise provided herein.</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9.2            </w:t>
      </w:r>
      <w:r>
        <w:rPr>
          <w:rFonts w:ascii="Times New Roman" w:cs="Times New Roman" w:eastAsia="Times New Roman" w:hAnsi="Times New Roman"/>
          <w:sz w:val="18"/>
          <w:szCs w:val="18"/>
          <w:u w:val="single" w:color="auto"/>
          <w:color w:val="000000"/>
        </w:rPr>
        <w:t>Certain Adjustments</w:t>
      </w:r>
      <w:r>
        <w:rPr>
          <w:rFonts w:ascii="Times New Roman" w:cs="Times New Roman" w:eastAsia="Times New Roman" w:hAnsi="Times New Roman"/>
          <w:sz w:val="18"/>
          <w:szCs w:val="18"/>
          <w:color w:val="000000"/>
        </w:rPr>
        <w:t>. In the event of a stock split, stock dividend or distribution, or any change in the Common Stock by reason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split-up, reverse stock split, recapitalization, combination, reclassification, exchange of shares or the like, the terms “Common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80"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9.3            </w:t>
      </w:r>
      <w:r>
        <w:rPr>
          <w:rFonts w:ascii="Times New Roman" w:cs="Times New Roman" w:eastAsia="Times New Roman" w:hAnsi="Times New Roman"/>
          <w:sz w:val="18"/>
          <w:szCs w:val="18"/>
          <w:u w:val="single" w:color="auto"/>
          <w:color w:val="000000"/>
        </w:rPr>
        <w:t>Amendments and Modifications</w:t>
      </w:r>
      <w:r>
        <w:rPr>
          <w:rFonts w:ascii="Times New Roman" w:cs="Times New Roman" w:eastAsia="Times New Roman" w:hAnsi="Times New Roman"/>
          <w:sz w:val="18"/>
          <w:szCs w:val="18"/>
          <w:color w:val="000000"/>
        </w:rPr>
        <w:t>. This Agreement may not be modified, amended, altered or supplemented except upon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execution and delivery of a written agreement executed by all of the parties hereto.</w:t>
      </w:r>
    </w:p>
    <w:p>
      <w:pPr>
        <w:spacing w:after="0" w:line="162" w:lineRule="exact"/>
        <w:rPr>
          <w:sz w:val="20"/>
          <w:szCs w:val="20"/>
          <w:color w:val="auto"/>
        </w:rPr>
      </w:pPr>
    </w:p>
    <w:p>
      <w:pPr>
        <w:ind w:right="260" w:firstLine="1296"/>
        <w:spacing w:after="0" w:line="312" w:lineRule="auto"/>
        <w:rPr>
          <w:sz w:val="20"/>
          <w:szCs w:val="20"/>
          <w:color w:val="auto"/>
        </w:rPr>
      </w:pPr>
      <w:r>
        <w:rPr>
          <w:rFonts w:ascii="Times New Roman" w:cs="Times New Roman" w:eastAsia="Times New Roman" w:hAnsi="Times New Roman"/>
          <w:sz w:val="17"/>
          <w:szCs w:val="17"/>
          <w:color w:val="010000"/>
        </w:rPr>
        <w:t xml:space="preserve">9.4            </w:t>
      </w:r>
      <w:r>
        <w:rPr>
          <w:rFonts w:ascii="Times New Roman" w:cs="Times New Roman" w:eastAsia="Times New Roman" w:hAnsi="Times New Roman"/>
          <w:sz w:val="17"/>
          <w:szCs w:val="17"/>
          <w:u w:val="single" w:color="auto"/>
          <w:color w:val="000000"/>
        </w:rPr>
        <w:t>Third Party Beneficiaries</w:t>
      </w:r>
      <w:r>
        <w:rPr>
          <w:rFonts w:ascii="Times New Roman" w:cs="Times New Roman" w:eastAsia="Times New Roman" w:hAnsi="Times New Roman"/>
          <w:sz w:val="17"/>
          <w:szCs w:val="17"/>
          <w:color w:val="000000"/>
        </w:rPr>
        <w:t>. This Agreement is not intended to and shall not confer any rights or remedies upon any Person other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than the parties hereto; provided, that the parties hereto acknowledge and agree that the Company is an intended beneficiary under this Agreement.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9.5            </w:t>
      </w:r>
      <w:r>
        <w:rPr>
          <w:rFonts w:ascii="Times New Roman" w:cs="Times New Roman" w:eastAsia="Times New Roman" w:hAnsi="Times New Roman"/>
          <w:sz w:val="18"/>
          <w:szCs w:val="18"/>
          <w:u w:val="single" w:color="auto"/>
          <w:color w:val="000000"/>
        </w:rPr>
        <w:t>Expenses</w:t>
      </w:r>
      <w:r>
        <w:rPr>
          <w:rFonts w:ascii="Times New Roman" w:cs="Times New Roman" w:eastAsia="Times New Roman" w:hAnsi="Times New Roman"/>
          <w:sz w:val="18"/>
          <w:szCs w:val="18"/>
          <w:color w:val="000000"/>
        </w:rPr>
        <w:t>. All costs and expenses incurred in connection with this Agreement shall be paid by the party incurring such cost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right="6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9.6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All notices and other communications hereunder shall be in writing and shall be deemed given if delivered personally,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e-mail transmission (with confirmation), mailed by registered or certified mail (return receipt requested) or delivered by an express courier (with confirmation) to the parties at the following addresses (or at such other address for a party as shall be specified by like notice):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any of the Stockholders listed on Schedule A, as specified in the notice provided on Schedule 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if to Parent,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Neon Maple Parent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199 Bay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Toronto, ON M5L 1A9</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Linday Matthews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and</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Nuvei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1100 Rene-Levesque West, Suite 900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Montreal, Quebec, H3B 4N4</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Linday Matthews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Marni Lerner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Ravi Purushotham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Louis Argentieri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9.7                              </w:t>
      </w:r>
      <w:r>
        <w:rPr>
          <w:rFonts w:ascii="Times New Roman" w:cs="Times New Roman" w:eastAsia="Times New Roman" w:hAnsi="Times New Roman"/>
          <w:sz w:val="18"/>
          <w:szCs w:val="18"/>
          <w:u w:val="single" w:color="auto"/>
          <w:color w:val="000000"/>
        </w:rPr>
        <w:t>Governing Law; Jurisdiction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500" w:firstLine="1944"/>
        <w:spacing w:after="0" w:line="266" w:lineRule="auto"/>
        <w:rPr>
          <w:sz w:val="20"/>
          <w:szCs w:val="20"/>
          <w:color w:val="auto"/>
        </w:rPr>
      </w:pPr>
      <w:r>
        <w:rPr>
          <w:rFonts w:ascii="Times New Roman" w:cs="Times New Roman" w:eastAsia="Times New Roman" w:hAnsi="Times New Roman"/>
          <w:sz w:val="18"/>
          <w:szCs w:val="18"/>
          <w:color w:val="010000"/>
        </w:rPr>
        <w:t xml:space="preserve">(a)            </w:t>
      </w:r>
      <w:r>
        <w:rPr>
          <w:rFonts w:ascii="Times New Roman" w:cs="Times New Roman" w:eastAsia="Times New Roman" w:hAnsi="Times New Roman"/>
          <w:sz w:val="18"/>
          <w:szCs w:val="18"/>
          <w:color w:val="000000"/>
        </w:rPr>
        <w:t>This Agreement shall be governed by and interpreted and construed in accordance with the Laws of the State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Delaware applicable to agreements made and to be performed entirely within the State of Delaware, without regard to any applicable conflicts of law principles.</w:t>
      </w:r>
    </w:p>
    <w:p>
      <w:pPr>
        <w:spacing w:after="0" w:line="176" w:lineRule="exact"/>
        <w:rPr>
          <w:sz w:val="20"/>
          <w:szCs w:val="20"/>
          <w:color w:val="auto"/>
        </w:rPr>
      </w:pPr>
    </w:p>
    <w:p>
      <w:pPr>
        <w:ind w:firstLine="1944"/>
        <w:spacing w:after="0" w:line="254"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Each party agrees that it will bring any action or proceeding in respect of any claim arising out of or related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or the transactions contemplated by this Agreement or the Merger Agreement exclusively in the Court of Chancery of the State of Delaware and any state appellate court therefrom within the State of Delaware or, if the Court of Chancery of the State of Delaware declines to accept jurisdiction over a particular matter, any federal or state court of competent jurisdiction located in the State of Delaware (the “</w:t>
      </w:r>
      <w:r>
        <w:rPr>
          <w:rFonts w:ascii="Times New Roman" w:cs="Times New Roman" w:eastAsia="Times New Roman" w:hAnsi="Times New Roman"/>
          <w:sz w:val="18"/>
          <w:szCs w:val="18"/>
          <w:u w:val="single" w:color="auto"/>
          <w:color w:val="000000"/>
        </w:rPr>
        <w:t>Chosen Courts</w:t>
      </w:r>
      <w:r>
        <w:rPr>
          <w:rFonts w:ascii="Times New Roman" w:cs="Times New Roman" w:eastAsia="Times New Roman" w:hAnsi="Times New Roman"/>
          <w:sz w:val="18"/>
          <w:szCs w:val="18"/>
          <w:color w:val="000000"/>
        </w:rPr>
        <w:t xml:space="preserve">”), and, solely in connection with claims arising out of or related to this Agreement or the transactions contemplated by this Agreement or the Merger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delivered personally at such party’s address set forth in </w:t>
      </w:r>
      <w:r>
        <w:rPr>
          <w:rFonts w:ascii="Times New Roman" w:cs="Times New Roman" w:eastAsia="Times New Roman" w:hAnsi="Times New Roman"/>
          <w:sz w:val="18"/>
          <w:szCs w:val="18"/>
          <w:u w:val="single" w:color="auto"/>
          <w:color w:val="000000"/>
        </w:rPr>
        <w:t>Section 9.6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right="60"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9.8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 EACH PARTY ACKNOWLEDGES AND AGREES THAT ANY CONTROVERSY WHICH MAY ARISE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000000"/>
        </w:rPr>
        <w:t>SECTION 9.8</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ind w:right="460" w:firstLine="1296"/>
        <w:spacing w:after="0" w:line="281" w:lineRule="auto"/>
        <w:rPr>
          <w:sz w:val="20"/>
          <w:szCs w:val="20"/>
          <w:color w:val="auto"/>
        </w:rPr>
      </w:pPr>
      <w:r>
        <w:rPr>
          <w:rFonts w:ascii="Times New Roman" w:cs="Times New Roman" w:eastAsia="Times New Roman" w:hAnsi="Times New Roman"/>
          <w:sz w:val="17"/>
          <w:szCs w:val="17"/>
          <w:color w:val="010000"/>
        </w:rPr>
        <w:t xml:space="preserve">9.9            </w:t>
      </w:r>
      <w:r>
        <w:rPr>
          <w:rFonts w:ascii="Times New Roman" w:cs="Times New Roman" w:eastAsia="Times New Roman" w:hAnsi="Times New Roman"/>
          <w:sz w:val="17"/>
          <w:szCs w:val="17"/>
          <w:u w:val="single" w:color="auto"/>
          <w:color w:val="000000"/>
        </w:rPr>
        <w:t>Specific Performance</w:t>
      </w:r>
      <w:r>
        <w:rPr>
          <w:rFonts w:ascii="Times New Roman" w:cs="Times New Roman" w:eastAsia="Times New Roman" w:hAnsi="Times New Roman"/>
          <w:sz w:val="17"/>
          <w:szCs w:val="17"/>
          <w:color w:val="000000"/>
        </w:rPr>
        <w:t>. The parties hereto agree that if any of the provisions of this Agreement were not to be performed as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required by their specific terms or were to be otherwise breached irreparable damage will occur, no adequate remedy at law would exist and damages would be difficult to determine, and that such parties shall be entitled, without the necessity of posting a bond or other security, to an injunction or injunctions to prevent breaches, and to specific performance of the terms, of this Agreement, in addition to any other remedy at law or equity.</w:t>
      </w:r>
    </w:p>
    <w:p>
      <w:pPr>
        <w:spacing w:after="0" w:line="164" w:lineRule="exact"/>
        <w:rPr>
          <w:sz w:val="20"/>
          <w:szCs w:val="20"/>
          <w:color w:val="auto"/>
        </w:rPr>
      </w:pPr>
    </w:p>
    <w:p>
      <w:pPr>
        <w:jc w:val="both"/>
        <w:ind w:right="320" w:firstLine="1296"/>
        <w:spacing w:after="0" w:line="266" w:lineRule="auto"/>
        <w:rPr>
          <w:sz w:val="20"/>
          <w:szCs w:val="20"/>
          <w:color w:val="auto"/>
        </w:rPr>
      </w:pPr>
      <w:r>
        <w:rPr>
          <w:rFonts w:ascii="Times New Roman" w:cs="Times New Roman" w:eastAsia="Times New Roman" w:hAnsi="Times New Roman"/>
          <w:sz w:val="18"/>
          <w:szCs w:val="18"/>
          <w:color w:val="010000"/>
        </w:rPr>
        <w:t>9.10          </w:t>
      </w:r>
      <w:r>
        <w:rPr>
          <w:rFonts w:ascii="Times New Roman" w:cs="Times New Roman" w:eastAsia="Times New Roman" w:hAnsi="Times New Roman"/>
          <w:sz w:val="18"/>
          <w:szCs w:val="18"/>
          <w:u w:val="single" w:color="auto"/>
          <w:color w:val="000000"/>
        </w:rPr>
        <w:t>Entire Agreement</w:t>
      </w:r>
      <w:r>
        <w:rPr>
          <w:rFonts w:ascii="Times New Roman" w:cs="Times New Roman" w:eastAsia="Times New Roman" w:hAnsi="Times New Roman"/>
          <w:sz w:val="18"/>
          <w:szCs w:val="18"/>
          <w:color w:val="000000"/>
        </w:rPr>
        <w:t>. This Agreement contains the entire understanding of the parties in respect of the subject matter hereof,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supersedes all prior negotiations and understandings between the parties with respect to such subject matter. For the avoidance of doubt, nothing in this Agreement shall be deemed to amend, alter or modify, in any respect, any of the provisions of the Merger Agreement.</w:t>
      </w:r>
    </w:p>
    <w:p>
      <w:pPr>
        <w:spacing w:after="0" w:line="176"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9.11         </w:t>
      </w:r>
      <w:r>
        <w:rPr>
          <w:rFonts w:ascii="Times New Roman" w:cs="Times New Roman" w:eastAsia="Times New Roman" w:hAnsi="Times New Roman"/>
          <w:sz w:val="18"/>
          <w:szCs w:val="18"/>
          <w:u w:val="single" w:color="auto"/>
          <w:color w:val="000000"/>
        </w:rPr>
        <w:t>Reliance</w:t>
      </w:r>
      <w:r>
        <w:rPr>
          <w:rFonts w:ascii="Times New Roman" w:cs="Times New Roman" w:eastAsia="Times New Roman" w:hAnsi="Times New Roman"/>
          <w:sz w:val="18"/>
          <w:szCs w:val="18"/>
          <w:color w:val="000000"/>
        </w:rPr>
        <w:t>. The Stockholders understand and acknowledge that Parent is entering into the Merger Agreement in reliance upon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Stockholders’ execution and delivery of this Agreement.</w:t>
      </w:r>
    </w:p>
    <w:p>
      <w:pPr>
        <w:spacing w:after="0" w:line="162"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9.12         </w:t>
      </w:r>
      <w:r>
        <w:rPr>
          <w:rFonts w:ascii="Times New Roman" w:cs="Times New Roman" w:eastAsia="Times New Roman" w:hAnsi="Times New Roman"/>
          <w:sz w:val="18"/>
          <w:szCs w:val="18"/>
          <w:u w:val="single" w:color="auto"/>
          <w:color w:val="000000"/>
        </w:rPr>
        <w:t>Interpretation</w:t>
      </w:r>
      <w:r>
        <w:rPr>
          <w:rFonts w:ascii="Times New Roman" w:cs="Times New Roman" w:eastAsia="Times New Roman" w:hAnsi="Times New Roman"/>
          <w:sz w:val="18"/>
          <w:szCs w:val="18"/>
          <w:color w:val="000000"/>
        </w:rPr>
        <w:t>. This Agreement and any documents or instruments delivered pursuant hereto or in connection herewith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construed without regard to the identity of the person who drafted the various provisions of the same. Each and every provision of this Agreement and such other documents and instruments shall be construed as though all of the parties participated equally in the drafting of the same. Consequently, the parties acknowledge and agree that any rule of construction that a document is to be construed against the drafting party shall not be applicable either to this Agreement or such other documents and instruments. The words “hereof,” “herein” and “hereunder” and words of similar import when used in this Agreement shall refer to this Agreement as a whole and not to any particular provision of this Agreement, and Section references are to this Agreement unless otherwise specified. Whenever the words “include,” “includes” or “including” are used in this Agreement, they shall be deemed to be followed by the words “without limitation.” The headings contained in this Agreement are for reference purposes only and shall not affect in any way the meaning or interpretation of this Agreement. In this Agreement, all references to “dollars” or “$” are to United States dollars. References to a party or to the parties to this Agreement refers to the Parent and the Stockholders, individually or collectively, as the case may be.</w:t>
      </w:r>
    </w:p>
    <w:p>
      <w:pPr>
        <w:spacing w:after="0" w:line="194"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9.13         </w:t>
      </w:r>
      <w:r>
        <w:rPr>
          <w:rFonts w:ascii="Times New Roman" w:cs="Times New Roman" w:eastAsia="Times New Roman" w:hAnsi="Times New Roman"/>
          <w:sz w:val="18"/>
          <w:szCs w:val="18"/>
          <w:u w:val="single" w:color="auto"/>
          <w:color w:val="000000"/>
        </w:rPr>
        <w:t>Assignment</w:t>
      </w:r>
      <w:r>
        <w:rPr>
          <w:rFonts w:ascii="Times New Roman" w:cs="Times New Roman" w:eastAsia="Times New Roman" w:hAnsi="Times New Roman"/>
          <w:sz w:val="18"/>
          <w:szCs w:val="18"/>
          <w:color w:val="000000"/>
        </w:rPr>
        <w:t>. Neither this Agreement nor any of the rights, interests or obligations of any party hereunder shall be assigned by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parties hereto (whether by operation of Law or otherwise) without the prior written consent of the other party.</w:t>
      </w:r>
    </w:p>
    <w:p>
      <w:pPr>
        <w:spacing w:after="0" w:line="16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9.14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Whenever possible, each provision or portion of any provision of this Agreement shall be interpreted in such manner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83"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9.15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counterparts (including by “.pdf”, “DocuSign” or other electronic means),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17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9.16         </w:t>
      </w:r>
      <w:r>
        <w:rPr>
          <w:rFonts w:ascii="Times New Roman" w:cs="Times New Roman" w:eastAsia="Times New Roman" w:hAnsi="Times New Roman"/>
          <w:sz w:val="18"/>
          <w:szCs w:val="18"/>
          <w:u w:val="single" w:color="auto"/>
          <w:color w:val="000000"/>
        </w:rPr>
        <w:t>Termination</w:t>
      </w:r>
      <w:r>
        <w:rPr>
          <w:rFonts w:ascii="Times New Roman" w:cs="Times New Roman" w:eastAsia="Times New Roman" w:hAnsi="Times New Roman"/>
          <w:sz w:val="18"/>
          <w:szCs w:val="18"/>
          <w:color w:val="000000"/>
        </w:rPr>
        <w:t>. This Agreement shall automatically terminate without further action by any of the parties hereto and shall have no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further force or effect as of the earliest to occur of the following: (a) the Effective Time, (b) such date and time as the Merger Agreement shall be validly terminated pursuant to Article VIII thereof or (c) such date and time of any amendment, modification, change or waiver of any provision of the Merger Agreement (i) that reduces the amount or changes the form of the Merger Consideration (other than adjustments in accordance with the terms of the Merger Agreement) or (ii) in a manner adverse in any material respect to any Stockholder (the earliest to occur of such times, the “</w:t>
      </w:r>
      <w:r>
        <w:rPr>
          <w:rFonts w:ascii="Times New Roman" w:cs="Times New Roman" w:eastAsia="Times New Roman" w:hAnsi="Times New Roman"/>
          <w:sz w:val="18"/>
          <w:szCs w:val="18"/>
          <w:u w:val="single" w:color="auto"/>
          <w:color w:val="000000"/>
        </w:rPr>
        <w:t>Expiration Time</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90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00" w:lineRule="exact"/>
        <w:rPr>
          <w:sz w:val="20"/>
          <w:szCs w:val="20"/>
          <w:color w:val="auto"/>
        </w:rPr>
      </w:pPr>
    </w:p>
    <w:p>
      <w:pPr>
        <w:spacing w:after="0" w:line="24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NEON MAPLE PARENT INC.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Philip Fayer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Philip Fayer</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ectPr>
          <w:pgSz w:w="11900" w:h="16838" w:orient="portrait"/>
          <w:cols w:equalWidth="0" w:num="1">
            <w:col w:w="10180"/>
          </w:cols>
          <w:pgMar w:left="980" w:top="688" w:right="739" w:bottom="1440" w:gutter="0" w:footer="0" w:header="0"/>
        </w:sectPr>
      </w:pPr>
    </w:p>
    <w:bookmarkStart w:id="21" w:name="page22"/>
    <w:bookmarkEnd w:id="21"/>
    <w:p>
      <w:pPr>
        <w:ind w:left="462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TCV VIII, L.P.</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 Cayman Islands exempted limited partnership, acting</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its general partner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Technology Crossover Management VIII, L.P., 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Cayman Islands exempted limited partnership,</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acting by its general partner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Technology Crossover Management VIII, Ltd., 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Cayman Islands exempted company</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John Delfino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John Delfino</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TCV VIII (A), L.P.</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 Cayman Islands exempted limited partnership, acting</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its general partner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Technology Crossover Management VIII, L.P., 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Cayman Islands exempted limited partnership,</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acting by its general partner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Technology Crossover Management VIII, Ltd., 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Cayman Islands exempted company</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John Delfino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John Delfino</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22" w:name="page23"/>
    <w:bookmarkEnd w:id="22"/>
    <w:p>
      <w:pPr>
        <w:ind w:left="4620"/>
        <w:spacing w:after="0"/>
        <w:rPr>
          <w:sz w:val="20"/>
          <w:szCs w:val="20"/>
          <w:color w:val="auto"/>
        </w:rPr>
      </w:pPr>
      <w:r>
        <w:rPr>
          <w:rFonts w:ascii="Times New Roman" w:cs="Times New Roman" w:eastAsia="Times New Roman" w:hAnsi="Times New Roman"/>
          <w:sz w:val="18"/>
          <w:szCs w:val="18"/>
          <w:b w:val="1"/>
          <w:bCs w:val="1"/>
          <w:color w:val="auto"/>
        </w:rPr>
        <w:t>TCV VIII (B), L.P.</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 Cayman Islands exempted limited partnership, acting</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its general partner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Technology Crossover Management VIII, L.P., 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Cayman Islands exempted limited partnership,</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acting by its general partner</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Technology Crossover Management VIII, Ltd., 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Cayman Islands exempted company</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John Delfino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John Delfino</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TCV MEMBER FUND, L.P.</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 Cayman Islands exempted limited partnership</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Technology Crossover Management VIII, Ltd., 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Cayman Islands exempted company</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John Delfino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John Delfino</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TCV VIII MANAGEMENT, L.L.C.</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John Delfino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John Delfino</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Voting and Support Agreement]</w:t>
      </w:r>
    </w:p>
    <w:p>
      <w:pPr>
        <w:sectPr>
          <w:pgSz w:w="11900" w:h="16838" w:orient="portrait"/>
          <w:cols w:equalWidth="0" w:num="1">
            <w:col w:w="9019"/>
          </w:cols>
          <w:pgMar w:left="1440" w:top="900"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420" w:type="dxa"/>
            <w:vAlign w:val="bottom"/>
            <w:tcBorders>
              <w:top w:val="single" w:sz="8" w:color="auto"/>
              <w:left w:val="single" w:sz="8" w:color="auto"/>
              <w:right w:val="single" w:sz="8" w:color="auto"/>
            </w:tcBorders>
            <w:gridSpan w:val="3"/>
          </w:tcPr>
          <w:p>
            <w:pPr>
              <w:ind w:left="198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Borders>
              <w:top w:val="single" w:sz="8" w:color="auto"/>
            </w:tcBorders>
          </w:tcPr>
          <w:p>
            <w:pPr>
              <w:spacing w:after="0"/>
              <w:rPr>
                <w:sz w:val="16"/>
                <w:szCs w:val="16"/>
                <w:color w:val="auto"/>
              </w:rPr>
            </w:pPr>
          </w:p>
        </w:tc>
        <w:tc>
          <w:tcPr>
            <w:tcW w:w="270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Address for Notice</w:t>
            </w:r>
          </w:p>
        </w:tc>
        <w:tc>
          <w:tcPr>
            <w:tcW w:w="840" w:type="dxa"/>
            <w:vAlign w:val="bottom"/>
            <w:tcBorders>
              <w:top w:val="single" w:sz="8" w:color="auto"/>
            </w:tcBorders>
          </w:tcPr>
          <w:p>
            <w:pPr>
              <w:spacing w:after="0"/>
              <w:rPr>
                <w:sz w:val="16"/>
                <w:szCs w:val="16"/>
                <w:color w:val="auto"/>
              </w:rPr>
            </w:pPr>
          </w:p>
        </w:tc>
        <w:tc>
          <w:tcPr>
            <w:tcW w:w="2060" w:type="dxa"/>
            <w:vAlign w:val="bottom"/>
            <w:tcBorders>
              <w:top w:val="single" w:sz="8" w:color="auto"/>
              <w:right w:val="single" w:sz="8" w:color="auto"/>
            </w:tcBorders>
            <w:gridSpan w:val="2"/>
          </w:tcPr>
          <w:p>
            <w:pPr>
              <w:jc w:val="right"/>
              <w:ind w:right="8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Covered Shares</w:t>
            </w:r>
          </w:p>
        </w:tc>
      </w:tr>
      <w:tr>
        <w:trPr>
          <w:trHeight w:val="128"/>
        </w:trPr>
        <w:tc>
          <w:tcPr>
            <w:tcW w:w="1980" w:type="dxa"/>
            <w:vAlign w:val="bottom"/>
            <w:tcBorders>
              <w:left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98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r>
      <w:tr>
        <w:trPr>
          <w:trHeight w:val="191"/>
        </w:trPr>
        <w:tc>
          <w:tcPr>
            <w:tcW w:w="442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TCV VIII, L.P.</w:t>
            </w:r>
          </w:p>
        </w:tc>
        <w:tc>
          <w:tcPr>
            <w:tcW w:w="39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 Technology Crossover Ventures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250 Middlefield Road</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Menlo Park, CA 94025</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432"/>
        </w:trPr>
        <w:tc>
          <w:tcPr>
            <w:tcW w:w="19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414"/>
        </w:trPr>
        <w:tc>
          <w:tcPr>
            <w:tcW w:w="19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Weil, Gotshal &amp; Manges LLP</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201 Redwood Shores Parkway</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Redwood Shores, CA 94065</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Attention: Kyle Krpata</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9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24,327,775</w:t>
            </w:r>
          </w:p>
        </w:tc>
      </w:tr>
      <w:tr>
        <w:trPr>
          <w:trHeight w:val="216"/>
        </w:trPr>
        <w:tc>
          <w:tcPr>
            <w:tcW w:w="198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91"/>
        </w:trPr>
        <w:tc>
          <w:tcPr>
            <w:tcW w:w="442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TCV VIII (A), L.P.</w:t>
            </w:r>
          </w:p>
        </w:tc>
        <w:tc>
          <w:tcPr>
            <w:tcW w:w="39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 Technology Crossover Ventures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250 Middlefield Road</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Menlo Park, CA 94025</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432"/>
        </w:trPr>
        <w:tc>
          <w:tcPr>
            <w:tcW w:w="19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414"/>
        </w:trPr>
        <w:tc>
          <w:tcPr>
            <w:tcW w:w="19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Weil, Gotshal &amp; Manges LLP</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201 Redwood Shores Parkway</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Redwood Shores, CA 94065</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Attention: Kyle Krpata</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9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6,560,434</w:t>
            </w:r>
          </w:p>
        </w:tc>
      </w:tr>
      <w:tr>
        <w:trPr>
          <w:trHeight w:val="216"/>
        </w:trPr>
        <w:tc>
          <w:tcPr>
            <w:tcW w:w="198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91"/>
        </w:trPr>
        <w:tc>
          <w:tcPr>
            <w:tcW w:w="442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TCV VIII (B), L.P.</w:t>
            </w:r>
          </w:p>
        </w:tc>
        <w:tc>
          <w:tcPr>
            <w:tcW w:w="39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 Technology Crossover Ventures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250 Middlefield Road</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Menlo Park, CA 94025</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432"/>
        </w:trPr>
        <w:tc>
          <w:tcPr>
            <w:tcW w:w="19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414"/>
        </w:trPr>
        <w:tc>
          <w:tcPr>
            <w:tcW w:w="19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Weil, Gotshal &amp; Manges LLP</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201 Redwood Shores Parkway</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Redwood Shores, CA 94065</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9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Attention: Kyle Krpata</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3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9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1,510,960</w:t>
            </w:r>
          </w:p>
        </w:tc>
      </w:tr>
      <w:tr>
        <w:trPr>
          <w:trHeight w:val="216"/>
        </w:trPr>
        <w:tc>
          <w:tcPr>
            <w:tcW w:w="198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668"/>
        </w:trPr>
        <w:tc>
          <w:tcPr>
            <w:tcW w:w="1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color w:val="auto"/>
              </w:rPr>
              <w:t>A-1</w:t>
            </w: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TCV MEMBER FUND, L.P.</w:t>
            </w:r>
          </w:p>
        </w:tc>
        <w:tc>
          <w:tcPr>
            <w:tcW w:w="3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 Technology Crossover Ventures</w:t>
            </w:r>
          </w:p>
        </w:tc>
        <w:tc>
          <w:tcPr>
            <w:tcW w:w="2900" w:type="dxa"/>
            <w:vAlign w:val="bottom"/>
            <w:tcBorders>
              <w:top w:val="single" w:sz="8" w:color="auto"/>
              <w:right w:val="single" w:sz="8" w:color="auto"/>
            </w:tcBorders>
          </w:tcPr>
          <w:p>
            <w:pPr>
              <w:spacing w:after="0"/>
              <w:rPr>
                <w:sz w:val="18"/>
                <w:szCs w:val="18"/>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 Middlefield Road</w:t>
            </w:r>
          </w:p>
        </w:tc>
        <w:tc>
          <w:tcPr>
            <w:tcW w:w="2900" w:type="dxa"/>
            <w:vAlign w:val="bottom"/>
            <w:tcBorders>
              <w:right w:val="single" w:sz="8" w:color="auto"/>
            </w:tcBorders>
          </w:tcPr>
          <w:p>
            <w:pPr>
              <w:spacing w:after="0"/>
              <w:rPr>
                <w:sz w:val="18"/>
                <w:szCs w:val="18"/>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Menlo Park, CA 94025</w:t>
            </w:r>
          </w:p>
        </w:tc>
        <w:tc>
          <w:tcPr>
            <w:tcW w:w="2900" w:type="dxa"/>
            <w:vAlign w:val="bottom"/>
            <w:tcBorders>
              <w:right w:val="single" w:sz="8" w:color="auto"/>
            </w:tcBorders>
          </w:tcPr>
          <w:p>
            <w:pPr>
              <w:spacing w:after="0"/>
              <w:rPr>
                <w:sz w:val="18"/>
                <w:szCs w:val="18"/>
                <w:color w:val="auto"/>
              </w:rPr>
            </w:pPr>
          </w:p>
        </w:tc>
      </w:tr>
      <w:tr>
        <w:trPr>
          <w:trHeight w:val="234"/>
        </w:trPr>
        <w:tc>
          <w:tcPr>
            <w:tcW w:w="442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900" w:type="dxa"/>
            <w:vAlign w:val="bottom"/>
            <w:tcBorders>
              <w:right w:val="single" w:sz="8" w:color="auto"/>
            </w:tcBorders>
          </w:tcPr>
          <w:p>
            <w:pPr>
              <w:spacing w:after="0"/>
              <w:rPr>
                <w:sz w:val="20"/>
                <w:szCs w:val="20"/>
                <w:color w:val="auto"/>
              </w:rPr>
            </w:pPr>
          </w:p>
        </w:tc>
      </w:tr>
      <w:tr>
        <w:trPr>
          <w:trHeight w:val="432"/>
        </w:trPr>
        <w:tc>
          <w:tcPr>
            <w:tcW w:w="442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2900" w:type="dxa"/>
            <w:vAlign w:val="bottom"/>
            <w:tcBorders>
              <w:right w:val="single" w:sz="8" w:color="auto"/>
            </w:tcBorders>
          </w:tcPr>
          <w:p>
            <w:pPr>
              <w:spacing w:after="0"/>
              <w:rPr>
                <w:sz w:val="24"/>
                <w:szCs w:val="24"/>
                <w:color w:val="auto"/>
              </w:rPr>
            </w:pPr>
          </w:p>
        </w:tc>
      </w:tr>
      <w:tr>
        <w:trPr>
          <w:trHeight w:val="414"/>
        </w:trPr>
        <w:tc>
          <w:tcPr>
            <w:tcW w:w="442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Weil, Gotshal &amp; Manges LLP</w:t>
            </w:r>
          </w:p>
        </w:tc>
        <w:tc>
          <w:tcPr>
            <w:tcW w:w="2900" w:type="dxa"/>
            <w:vAlign w:val="bottom"/>
            <w:tcBorders>
              <w:right w:val="single" w:sz="8" w:color="auto"/>
            </w:tcBorders>
          </w:tcPr>
          <w:p>
            <w:pPr>
              <w:spacing w:after="0"/>
              <w:rPr>
                <w:sz w:val="24"/>
                <w:szCs w:val="24"/>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 Redwood Shores Parkway</w:t>
            </w:r>
          </w:p>
        </w:tc>
        <w:tc>
          <w:tcPr>
            <w:tcW w:w="2900" w:type="dxa"/>
            <w:vAlign w:val="bottom"/>
            <w:tcBorders>
              <w:right w:val="single" w:sz="8" w:color="auto"/>
            </w:tcBorders>
          </w:tcPr>
          <w:p>
            <w:pPr>
              <w:spacing w:after="0"/>
              <w:rPr>
                <w:sz w:val="18"/>
                <w:szCs w:val="18"/>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Redwood Shores, CA 94065</w:t>
            </w:r>
          </w:p>
        </w:tc>
        <w:tc>
          <w:tcPr>
            <w:tcW w:w="2900" w:type="dxa"/>
            <w:vAlign w:val="bottom"/>
            <w:tcBorders>
              <w:right w:val="single" w:sz="8" w:color="auto"/>
            </w:tcBorders>
          </w:tcPr>
          <w:p>
            <w:pPr>
              <w:spacing w:after="0"/>
              <w:rPr>
                <w:sz w:val="18"/>
                <w:szCs w:val="18"/>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Kyle Krpata</w:t>
            </w:r>
          </w:p>
        </w:tc>
        <w:tc>
          <w:tcPr>
            <w:tcW w:w="2900" w:type="dxa"/>
            <w:vAlign w:val="bottom"/>
            <w:tcBorders>
              <w:right w:val="single" w:sz="8" w:color="auto"/>
            </w:tcBorders>
          </w:tcPr>
          <w:p>
            <w:pPr>
              <w:spacing w:after="0"/>
              <w:rPr>
                <w:sz w:val="18"/>
                <w:szCs w:val="18"/>
                <w:color w:val="auto"/>
              </w:rPr>
            </w:pPr>
          </w:p>
        </w:tc>
      </w:tr>
      <w:tr>
        <w:trPr>
          <w:trHeight w:val="234"/>
        </w:trPr>
        <w:tc>
          <w:tcPr>
            <w:tcW w:w="442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1,797,947</w:t>
            </w:r>
          </w:p>
        </w:tc>
      </w:tr>
      <w:tr>
        <w:trPr>
          <w:trHeight w:val="216"/>
        </w:trPr>
        <w:tc>
          <w:tcPr>
            <w:tcW w:w="44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r>
      <w:tr>
        <w:trPr>
          <w:trHeight w:val="191"/>
        </w:trPr>
        <w:tc>
          <w:tcPr>
            <w:tcW w:w="44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TCV VIII MANAGEMENT, L.L.C.</w:t>
            </w:r>
          </w:p>
        </w:tc>
        <w:tc>
          <w:tcPr>
            <w:tcW w:w="39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c/o Technology Crossover Ventures</w:t>
            </w:r>
          </w:p>
        </w:tc>
        <w:tc>
          <w:tcPr>
            <w:tcW w:w="2900" w:type="dxa"/>
            <w:vAlign w:val="bottom"/>
            <w:tcBorders>
              <w:right w:val="single" w:sz="8" w:color="auto"/>
            </w:tcBorders>
          </w:tcPr>
          <w:p>
            <w:pPr>
              <w:spacing w:after="0"/>
              <w:rPr>
                <w:sz w:val="16"/>
                <w:szCs w:val="16"/>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 Middlefield Road</w:t>
            </w:r>
          </w:p>
        </w:tc>
        <w:tc>
          <w:tcPr>
            <w:tcW w:w="2900" w:type="dxa"/>
            <w:vAlign w:val="bottom"/>
            <w:tcBorders>
              <w:right w:val="single" w:sz="8" w:color="auto"/>
            </w:tcBorders>
          </w:tcPr>
          <w:p>
            <w:pPr>
              <w:spacing w:after="0"/>
              <w:rPr>
                <w:sz w:val="18"/>
                <w:szCs w:val="18"/>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Menlo Park, CA 94025</w:t>
            </w:r>
          </w:p>
        </w:tc>
        <w:tc>
          <w:tcPr>
            <w:tcW w:w="2900" w:type="dxa"/>
            <w:vAlign w:val="bottom"/>
            <w:tcBorders>
              <w:right w:val="single" w:sz="8" w:color="auto"/>
            </w:tcBorders>
          </w:tcPr>
          <w:p>
            <w:pPr>
              <w:spacing w:after="0"/>
              <w:rPr>
                <w:sz w:val="18"/>
                <w:szCs w:val="18"/>
                <w:color w:val="auto"/>
              </w:rPr>
            </w:pPr>
          </w:p>
        </w:tc>
      </w:tr>
      <w:tr>
        <w:trPr>
          <w:trHeight w:val="234"/>
        </w:trPr>
        <w:tc>
          <w:tcPr>
            <w:tcW w:w="442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900" w:type="dxa"/>
            <w:vAlign w:val="bottom"/>
            <w:tcBorders>
              <w:right w:val="single" w:sz="8" w:color="auto"/>
            </w:tcBorders>
          </w:tcPr>
          <w:p>
            <w:pPr>
              <w:spacing w:after="0"/>
              <w:rPr>
                <w:sz w:val="20"/>
                <w:szCs w:val="20"/>
                <w:color w:val="auto"/>
              </w:rPr>
            </w:pPr>
          </w:p>
        </w:tc>
      </w:tr>
      <w:tr>
        <w:trPr>
          <w:trHeight w:val="432"/>
        </w:trPr>
        <w:tc>
          <w:tcPr>
            <w:tcW w:w="442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2900" w:type="dxa"/>
            <w:vAlign w:val="bottom"/>
            <w:tcBorders>
              <w:right w:val="single" w:sz="8" w:color="auto"/>
            </w:tcBorders>
          </w:tcPr>
          <w:p>
            <w:pPr>
              <w:spacing w:after="0"/>
              <w:rPr>
                <w:sz w:val="24"/>
                <w:szCs w:val="24"/>
                <w:color w:val="auto"/>
              </w:rPr>
            </w:pPr>
          </w:p>
        </w:tc>
      </w:tr>
      <w:tr>
        <w:trPr>
          <w:trHeight w:val="414"/>
        </w:trPr>
        <w:tc>
          <w:tcPr>
            <w:tcW w:w="442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Weil, Gotshal &amp; Manges LLP</w:t>
            </w:r>
          </w:p>
        </w:tc>
        <w:tc>
          <w:tcPr>
            <w:tcW w:w="2900" w:type="dxa"/>
            <w:vAlign w:val="bottom"/>
            <w:tcBorders>
              <w:right w:val="single" w:sz="8" w:color="auto"/>
            </w:tcBorders>
          </w:tcPr>
          <w:p>
            <w:pPr>
              <w:spacing w:after="0"/>
              <w:rPr>
                <w:sz w:val="24"/>
                <w:szCs w:val="24"/>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 Redwood Shores Parkway</w:t>
            </w:r>
          </w:p>
        </w:tc>
        <w:tc>
          <w:tcPr>
            <w:tcW w:w="2900" w:type="dxa"/>
            <w:vAlign w:val="bottom"/>
            <w:tcBorders>
              <w:right w:val="single" w:sz="8" w:color="auto"/>
            </w:tcBorders>
          </w:tcPr>
          <w:p>
            <w:pPr>
              <w:spacing w:after="0"/>
              <w:rPr>
                <w:sz w:val="18"/>
                <w:szCs w:val="18"/>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Redwood Shores, CA 94065</w:t>
            </w:r>
          </w:p>
        </w:tc>
        <w:tc>
          <w:tcPr>
            <w:tcW w:w="2900" w:type="dxa"/>
            <w:vAlign w:val="bottom"/>
            <w:tcBorders>
              <w:right w:val="single" w:sz="8" w:color="auto"/>
            </w:tcBorders>
          </w:tcPr>
          <w:p>
            <w:pPr>
              <w:spacing w:after="0"/>
              <w:rPr>
                <w:sz w:val="18"/>
                <w:szCs w:val="18"/>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Kyle Krpata</w:t>
            </w:r>
          </w:p>
        </w:tc>
        <w:tc>
          <w:tcPr>
            <w:tcW w:w="2900" w:type="dxa"/>
            <w:vAlign w:val="bottom"/>
            <w:tcBorders>
              <w:right w:val="single" w:sz="8" w:color="auto"/>
            </w:tcBorders>
          </w:tcPr>
          <w:p>
            <w:pPr>
              <w:spacing w:after="0"/>
              <w:rPr>
                <w:sz w:val="18"/>
                <w:szCs w:val="18"/>
                <w:color w:val="auto"/>
              </w:rPr>
            </w:pPr>
          </w:p>
        </w:tc>
      </w:tr>
      <w:tr>
        <w:trPr>
          <w:trHeight w:val="234"/>
        </w:trPr>
        <w:tc>
          <w:tcPr>
            <w:tcW w:w="442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5,134</w:t>
            </w:r>
          </w:p>
        </w:tc>
      </w:tr>
      <w:tr>
        <w:trPr>
          <w:trHeight w:val="216"/>
        </w:trPr>
        <w:tc>
          <w:tcPr>
            <w:tcW w:w="44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r>
      <w:tr>
        <w:trPr>
          <w:trHeight w:val="209"/>
        </w:trPr>
        <w:tc>
          <w:tcPr>
            <w:tcW w:w="44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ind w:left="3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34,202,250</w:t>
            </w:r>
          </w:p>
        </w:tc>
      </w:tr>
      <w:tr>
        <w:trPr>
          <w:trHeight w:val="642"/>
        </w:trPr>
        <w:tc>
          <w:tcPr>
            <w:tcW w:w="44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A-2</w:t>
            </w:r>
          </w:p>
        </w:tc>
        <w:tc>
          <w:tcPr>
            <w:tcW w:w="2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2026-06-16T17:44:11Z</dcterms:created>
  <dcterms:modified xsi:type="dcterms:W3CDTF">2026-06-16T17:44:11Z</dcterms:modified>
</cp:coreProperties>
</file>