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Ordonez Beatrice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BROADWAY, 27TH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Payoneer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PAYO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670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7.09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2,786,963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solely to cover the Reporting Person's tax obligation arising from the settlement of vested restricted stock units and does not represent an open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Anna Bochkareva, attorney-in-fact for Beatrice Ordonez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2088" TargetMode="External"/><Relationship Id="rId5" Type="http://schemas.openxmlformats.org/officeDocument/2006/relationships/hyperlink" Target="http://www.sec.gov/cgi-bin/browse-edgar?action=getcompany&amp;CIK=00018458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3258</Characters>
  <CharactersWithSpaces>3786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